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2C5F" w:rsidRPr="00F57BF8" w:rsidRDefault="001B2C5F" w:rsidP="001B2C5F">
      <w:pPr>
        <w:rPr>
          <w:rFonts w:ascii="Arial" w:eastAsia="Times New Roman" w:hAnsi="Arial" w:cs="Arial"/>
          <w:b/>
          <w:bCs/>
          <w:color w:val="202122"/>
          <w:sz w:val="32"/>
          <w:szCs w:val="32"/>
          <w:lang w:eastAsia="fr-FR"/>
        </w:rPr>
      </w:pPr>
      <w:r>
        <w:rPr>
          <w:rFonts w:ascii="Arial" w:eastAsia="Times New Roman" w:hAnsi="Arial" w:cs="Arial"/>
          <w:color w:val="202122"/>
          <w:sz w:val="16"/>
          <w:szCs w:val="16"/>
          <w:lang w:eastAsia="fr-FR"/>
        </w:rPr>
        <w:t xml:space="preserve">                     </w:t>
      </w:r>
      <w:r w:rsidRPr="00F57BF8">
        <w:rPr>
          <w:rFonts w:ascii="Arial" w:eastAsia="Times New Roman" w:hAnsi="Arial" w:cs="Arial"/>
          <w:b/>
          <w:bCs/>
          <w:color w:val="202122"/>
          <w:sz w:val="32"/>
          <w:szCs w:val="32"/>
          <w:lang w:eastAsia="fr-FR"/>
        </w:rPr>
        <w:t xml:space="preserve">Chapitre </w:t>
      </w:r>
      <w:r w:rsidR="00F366F3" w:rsidRPr="00F57BF8">
        <w:rPr>
          <w:rFonts w:ascii="Arial" w:eastAsia="Times New Roman" w:hAnsi="Arial" w:cs="Arial"/>
          <w:b/>
          <w:bCs/>
          <w:color w:val="202122"/>
          <w:sz w:val="32"/>
          <w:szCs w:val="32"/>
          <w:lang w:eastAsia="fr-FR"/>
        </w:rPr>
        <w:t>2</w:t>
      </w:r>
      <w:r w:rsidRPr="00F57BF8">
        <w:rPr>
          <w:rFonts w:ascii="Arial" w:eastAsia="Times New Roman" w:hAnsi="Arial" w:cs="Arial"/>
          <w:b/>
          <w:bCs/>
          <w:color w:val="202122"/>
          <w:sz w:val="32"/>
          <w:szCs w:val="32"/>
          <w:lang w:eastAsia="fr-FR"/>
        </w:rPr>
        <w:t> : Description d’une liaison</w:t>
      </w:r>
    </w:p>
    <w:p w:rsidR="001B2C5F" w:rsidRPr="001B2C5F" w:rsidRDefault="001B2C5F" w:rsidP="001B2C5F">
      <w:pPr>
        <w:rPr>
          <w:rFonts w:ascii="Arial" w:eastAsia="Times New Roman" w:hAnsi="Arial" w:cs="Arial"/>
          <w:color w:val="202122"/>
          <w:sz w:val="20"/>
          <w:szCs w:val="20"/>
          <w:lang w:eastAsia="fr-FR"/>
        </w:rPr>
      </w:pPr>
    </w:p>
    <w:p w:rsidR="001B2C5F" w:rsidRPr="000C4B5F" w:rsidRDefault="001B2C5F" w:rsidP="001B2C5F">
      <w:pPr>
        <w:pStyle w:val="Paragraphedeliste"/>
        <w:numPr>
          <w:ilvl w:val="0"/>
          <w:numId w:val="1"/>
        </w:numPr>
        <w:rPr>
          <w:rFonts w:ascii="Arial" w:eastAsia="Times New Roman" w:hAnsi="Arial" w:cs="Arial"/>
          <w:b/>
          <w:bCs/>
          <w:color w:val="202122"/>
          <w:sz w:val="24"/>
          <w:szCs w:val="24"/>
          <w:lang w:eastAsia="fr-FR"/>
        </w:rPr>
      </w:pPr>
      <w:r w:rsidRPr="000C4B5F">
        <w:rPr>
          <w:rFonts w:ascii="Arial" w:eastAsia="Times New Roman" w:hAnsi="Arial" w:cs="Arial"/>
          <w:b/>
          <w:bCs/>
          <w:color w:val="202122"/>
          <w:sz w:val="24"/>
          <w:szCs w:val="24"/>
          <w:lang w:eastAsia="fr-FR"/>
        </w:rPr>
        <w:t>Eléments d’une liaison</w:t>
      </w:r>
      <w:r w:rsidR="00496F27" w:rsidRPr="000C4B5F">
        <w:rPr>
          <w:rFonts w:ascii="Arial" w:eastAsia="Times New Roman" w:hAnsi="Arial" w:cs="Arial"/>
          <w:b/>
          <w:bCs/>
          <w:color w:val="202122"/>
          <w:sz w:val="24"/>
          <w:szCs w:val="24"/>
          <w:lang w:eastAsia="fr-FR"/>
        </w:rPr>
        <w:t xml:space="preserve"> de données numérique sur une ligne analogique</w:t>
      </w:r>
    </w:p>
    <w:p w:rsidR="001B2C5F" w:rsidRPr="000C4B5F" w:rsidRDefault="001B2C5F" w:rsidP="004E449A">
      <w:pPr>
        <w:jc w:val="both"/>
        <w:rPr>
          <w:rFonts w:ascii="Arial" w:eastAsia="Times New Roman" w:hAnsi="Arial" w:cs="Arial"/>
          <w:color w:val="202122"/>
          <w:lang w:eastAsia="fr-FR"/>
        </w:rPr>
      </w:pPr>
      <w:r w:rsidRPr="000C4B5F">
        <w:rPr>
          <w:rFonts w:ascii="Arial" w:eastAsia="Times New Roman" w:hAnsi="Arial" w:cs="Arial"/>
          <w:color w:val="202122"/>
          <w:lang w:eastAsia="fr-FR"/>
        </w:rPr>
        <w:t xml:space="preserve">La communication numérique entre systèmes s’effectue via des liaisons dont les principaux éléments sont définis par les recommandations de l’UIT-T (Union Internationale des Télécommunications- secteur de la normalisation). La figure </w:t>
      </w:r>
      <w:r w:rsidR="000C4B5F">
        <w:rPr>
          <w:rFonts w:ascii="Arial" w:eastAsia="Times New Roman" w:hAnsi="Arial" w:cs="Arial"/>
          <w:color w:val="202122"/>
          <w:lang w:eastAsia="fr-FR"/>
        </w:rPr>
        <w:t>2.</w:t>
      </w:r>
      <w:r w:rsidRPr="000C4B5F">
        <w:rPr>
          <w:rFonts w:ascii="Arial" w:eastAsia="Times New Roman" w:hAnsi="Arial" w:cs="Arial"/>
          <w:color w:val="202122"/>
          <w:lang w:eastAsia="fr-FR"/>
        </w:rPr>
        <w:t>1 met en évidence ces différents éléments.</w:t>
      </w:r>
    </w:p>
    <w:p w:rsidR="001B2C5F" w:rsidRPr="000C4B5F" w:rsidRDefault="000C4B5F" w:rsidP="004E449A">
      <w:pPr>
        <w:jc w:val="both"/>
        <w:rPr>
          <w:rFonts w:ascii="Arial" w:eastAsia="Times New Roman" w:hAnsi="Arial" w:cs="Arial"/>
          <w:color w:val="202122"/>
          <w:lang w:eastAsia="fr-FR"/>
        </w:rPr>
      </w:pPr>
      <w:r>
        <w:object w:dxaOrig="1513" w:dyaOrig="9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75.75pt;height:49.1pt" o:ole="">
            <v:imagedata r:id="rId8" o:title=""/>
          </v:shape>
          <o:OLEObject Type="Embed" ProgID="FoxitReader.Document" ShapeID="_x0000_i1040" DrawAspect="Icon" ObjectID="_1791622907" r:id="rId9"/>
        </w:object>
      </w:r>
    </w:p>
    <w:p w:rsidR="001B2C5F" w:rsidRPr="000C4B5F" w:rsidRDefault="001B2C5F" w:rsidP="004E449A">
      <w:pPr>
        <w:jc w:val="both"/>
        <w:rPr>
          <w:rFonts w:ascii="Arial" w:eastAsia="Times New Roman" w:hAnsi="Arial" w:cs="Arial"/>
          <w:color w:val="202122"/>
          <w:lang w:eastAsia="fr-FR"/>
        </w:rPr>
      </w:pPr>
      <w:r w:rsidRPr="000C4B5F">
        <w:rPr>
          <w:rFonts w:ascii="Arial" w:eastAsia="Times New Roman" w:hAnsi="Arial" w:cs="Arial"/>
          <w:color w:val="202122"/>
          <w:lang w:eastAsia="fr-FR"/>
        </w:rPr>
        <w:t xml:space="preserve">Figure </w:t>
      </w:r>
      <w:r w:rsidR="000C4B5F">
        <w:rPr>
          <w:rFonts w:ascii="Arial" w:eastAsia="Times New Roman" w:hAnsi="Arial" w:cs="Arial"/>
          <w:color w:val="202122"/>
          <w:lang w:eastAsia="fr-FR"/>
        </w:rPr>
        <w:t>2.</w:t>
      </w:r>
      <w:r w:rsidRPr="000C4B5F">
        <w:rPr>
          <w:rFonts w:ascii="Arial" w:eastAsia="Times New Roman" w:hAnsi="Arial" w:cs="Arial"/>
          <w:color w:val="202122"/>
          <w:lang w:eastAsia="fr-FR"/>
        </w:rPr>
        <w:t>1</w:t>
      </w:r>
    </w:p>
    <w:p w:rsidR="001B2C5F" w:rsidRPr="000C4B5F" w:rsidRDefault="001B2C5F" w:rsidP="004E449A">
      <w:pPr>
        <w:jc w:val="both"/>
        <w:rPr>
          <w:rFonts w:ascii="Arial" w:eastAsia="Times New Roman" w:hAnsi="Arial" w:cs="Arial"/>
          <w:color w:val="202122"/>
          <w:lang w:eastAsia="fr-FR"/>
        </w:rPr>
      </w:pPr>
      <w:r w:rsidRPr="000C4B5F">
        <w:rPr>
          <w:rFonts w:ascii="Arial" w:eastAsia="Times New Roman" w:hAnsi="Arial" w:cs="Arial"/>
          <w:color w:val="202122"/>
          <w:lang w:eastAsia="fr-FR"/>
        </w:rPr>
        <w:t>Situé à l’extrémité de la liaison, l’ETTD (Equipement Terminal de traitement des Données) ou DTE : Data Termina Equipment, qui intègre un contrôleur de communication peut être un ordinateur, un terminal, une imprimante- ou plus généralement tout équipement qui ne se connecte pas directement à la ligne de transmission.</w:t>
      </w:r>
    </w:p>
    <w:p w:rsidR="001B2C5F" w:rsidRPr="000C4B5F" w:rsidRDefault="001B2C5F" w:rsidP="004E449A">
      <w:pPr>
        <w:jc w:val="both"/>
        <w:rPr>
          <w:rFonts w:ascii="Arial" w:eastAsia="Times New Roman" w:hAnsi="Arial" w:cs="Arial"/>
          <w:color w:val="202122"/>
          <w:lang w:eastAsia="fr-FR"/>
        </w:rPr>
      </w:pPr>
      <w:r w:rsidRPr="000C4B5F">
        <w:rPr>
          <w:rFonts w:ascii="Arial" w:eastAsia="Times New Roman" w:hAnsi="Arial" w:cs="Arial"/>
          <w:color w:val="202122"/>
          <w:lang w:eastAsia="fr-FR"/>
        </w:rPr>
        <w:t>La transmission des données sur la ligne est assurée par l’ETCD (Equipement Terminal de Circuit de données ou DCE : Data Communication Equipment) qui peut être un modem, un multiplexeur, un concentrateur ou simplement un adaptateur (pseudo-modem).</w:t>
      </w:r>
    </w:p>
    <w:p w:rsidR="001B2C5F" w:rsidRPr="000C4B5F" w:rsidRDefault="001B2C5F" w:rsidP="004E449A">
      <w:pPr>
        <w:jc w:val="both"/>
        <w:rPr>
          <w:rFonts w:ascii="Arial" w:eastAsia="Times New Roman" w:hAnsi="Arial" w:cs="Arial"/>
          <w:color w:val="202122"/>
          <w:lang w:eastAsia="fr-FR"/>
        </w:rPr>
      </w:pPr>
      <w:r w:rsidRPr="000C4B5F">
        <w:rPr>
          <w:rFonts w:ascii="Arial" w:eastAsia="Times New Roman" w:hAnsi="Arial" w:cs="Arial"/>
          <w:color w:val="202122"/>
          <w:lang w:eastAsia="fr-FR"/>
        </w:rPr>
        <w:t>L’ETCD, la plupart du temps, un modem, a deux fonctions essentielles :</w:t>
      </w:r>
    </w:p>
    <w:p w:rsidR="001B2C5F" w:rsidRPr="000C4B5F" w:rsidRDefault="001B2C5F" w:rsidP="004E449A">
      <w:pPr>
        <w:pStyle w:val="Paragraphedeliste"/>
        <w:numPr>
          <w:ilvl w:val="0"/>
          <w:numId w:val="2"/>
        </w:numPr>
        <w:jc w:val="both"/>
        <w:rPr>
          <w:rFonts w:ascii="Arial" w:eastAsia="Times New Roman" w:hAnsi="Arial" w:cs="Arial"/>
          <w:color w:val="202122"/>
          <w:lang w:eastAsia="fr-FR"/>
        </w:rPr>
      </w:pPr>
      <w:r w:rsidRPr="000C4B5F">
        <w:rPr>
          <w:rFonts w:ascii="Arial" w:eastAsia="Times New Roman" w:hAnsi="Arial" w:cs="Arial"/>
          <w:color w:val="202122"/>
          <w:lang w:eastAsia="fr-FR"/>
        </w:rPr>
        <w:t>L’adaptation du signal binaire entre ETTD et la ligne de transmission, ce qui correspond généralement à un codage et une modulation (ou une démodulation et un décodage suivant qu’il émet ou reçoit) ;</w:t>
      </w:r>
    </w:p>
    <w:p w:rsidR="001B2C5F" w:rsidRPr="000C4B5F" w:rsidRDefault="001B2C5F" w:rsidP="004E449A">
      <w:pPr>
        <w:pStyle w:val="Paragraphedeliste"/>
        <w:numPr>
          <w:ilvl w:val="0"/>
          <w:numId w:val="2"/>
        </w:numPr>
        <w:jc w:val="both"/>
        <w:rPr>
          <w:rFonts w:ascii="Arial" w:eastAsia="Times New Roman" w:hAnsi="Arial" w:cs="Arial"/>
          <w:color w:val="202122"/>
          <w:lang w:eastAsia="fr-FR"/>
        </w:rPr>
      </w:pPr>
      <w:r w:rsidRPr="000C4B5F">
        <w:rPr>
          <w:rFonts w:ascii="Arial" w:eastAsia="Times New Roman" w:hAnsi="Arial" w:cs="Arial"/>
          <w:color w:val="202122"/>
          <w:lang w:eastAsia="fr-FR"/>
        </w:rPr>
        <w:t>La gestion de la liaison comprenant l’établissement, le maintien et la libération de la ligne à chaque extrémité.</w:t>
      </w:r>
    </w:p>
    <w:p w:rsidR="001B2C5F" w:rsidRPr="000C4B5F" w:rsidRDefault="001B2C5F" w:rsidP="004E449A">
      <w:pPr>
        <w:jc w:val="both"/>
        <w:rPr>
          <w:rFonts w:ascii="Arial" w:eastAsia="Times New Roman" w:hAnsi="Arial" w:cs="Arial"/>
          <w:color w:val="202122"/>
          <w:lang w:eastAsia="fr-FR"/>
        </w:rPr>
      </w:pPr>
      <w:r w:rsidRPr="000C4B5F">
        <w:rPr>
          <w:rFonts w:ascii="Arial" w:eastAsia="Times New Roman" w:hAnsi="Arial" w:cs="Arial"/>
          <w:color w:val="202122"/>
          <w:lang w:eastAsia="fr-FR"/>
        </w:rPr>
        <w:t xml:space="preserve">La jonction constitue l’interface entre ETCD et ETTD et permet à ce dernier de contrôler le circuit de données (2tablissement, maintien et libération, initialisation de la transmission). </w:t>
      </w:r>
    </w:p>
    <w:p w:rsidR="001B2C5F" w:rsidRPr="000C4B5F" w:rsidRDefault="001B2C5F" w:rsidP="004E449A">
      <w:pPr>
        <w:jc w:val="both"/>
        <w:rPr>
          <w:rFonts w:ascii="Arial" w:eastAsia="Times New Roman" w:hAnsi="Arial" w:cs="Arial"/>
          <w:color w:val="202122"/>
          <w:lang w:eastAsia="fr-FR"/>
        </w:rPr>
      </w:pPr>
      <w:r w:rsidRPr="006217D0">
        <w:rPr>
          <w:rFonts w:ascii="Arial" w:eastAsia="Times New Roman" w:hAnsi="Arial" w:cs="Arial"/>
          <w:b/>
          <w:bCs/>
          <w:color w:val="202122"/>
          <w:lang w:eastAsia="fr-FR"/>
        </w:rPr>
        <w:t>2-</w:t>
      </w:r>
      <w:r w:rsidRPr="00F33014">
        <w:rPr>
          <w:rFonts w:ascii="Arial" w:eastAsia="Times New Roman" w:hAnsi="Arial" w:cs="Arial"/>
          <w:b/>
          <w:bCs/>
          <w:color w:val="202122"/>
          <w:sz w:val="24"/>
          <w:szCs w:val="24"/>
          <w:lang w:eastAsia="fr-FR"/>
        </w:rPr>
        <w:t>Modes d’exploitation</w:t>
      </w:r>
    </w:p>
    <w:p w:rsidR="001B2C5F" w:rsidRPr="000C4B5F" w:rsidRDefault="001B2C5F" w:rsidP="004E449A">
      <w:pPr>
        <w:jc w:val="both"/>
        <w:rPr>
          <w:rFonts w:ascii="Arial" w:eastAsia="Times New Roman" w:hAnsi="Arial" w:cs="Arial"/>
          <w:color w:val="202122"/>
          <w:lang w:eastAsia="fr-FR"/>
        </w:rPr>
      </w:pPr>
      <w:r w:rsidRPr="000C4B5F">
        <w:rPr>
          <w:rFonts w:ascii="Arial" w:eastAsia="Times New Roman" w:hAnsi="Arial" w:cs="Arial"/>
          <w:color w:val="202122"/>
          <w:lang w:eastAsia="fr-FR"/>
        </w:rPr>
        <w:t>La transmission des données numériques entre deux systèmes peut s’effectuer, en fonction des besoins et des caractéristiques des éléments, suivant trois modes :</w:t>
      </w:r>
    </w:p>
    <w:p w:rsidR="001B2C5F" w:rsidRPr="00F33014" w:rsidRDefault="001B2C5F" w:rsidP="00F33014">
      <w:pPr>
        <w:pStyle w:val="Paragraphedeliste"/>
        <w:numPr>
          <w:ilvl w:val="1"/>
          <w:numId w:val="8"/>
        </w:numPr>
        <w:jc w:val="both"/>
        <w:rPr>
          <w:rFonts w:ascii="Arial" w:eastAsia="Times New Roman" w:hAnsi="Arial" w:cs="Arial"/>
          <w:b/>
          <w:bCs/>
          <w:color w:val="202122"/>
          <w:lang w:eastAsia="fr-FR"/>
        </w:rPr>
      </w:pPr>
      <w:r w:rsidRPr="00F33014">
        <w:rPr>
          <w:rFonts w:ascii="Arial" w:eastAsia="Times New Roman" w:hAnsi="Arial" w:cs="Arial"/>
          <w:b/>
          <w:bCs/>
          <w:color w:val="202122"/>
          <w:lang w:eastAsia="fr-FR"/>
        </w:rPr>
        <w:t>Liaison simplex</w:t>
      </w:r>
    </w:p>
    <w:p w:rsidR="001B2C5F" w:rsidRPr="000C4B5F" w:rsidRDefault="001B2C5F" w:rsidP="004E449A">
      <w:pPr>
        <w:jc w:val="both"/>
        <w:rPr>
          <w:rFonts w:ascii="Arial" w:eastAsia="Times New Roman" w:hAnsi="Arial" w:cs="Arial"/>
          <w:color w:val="202122"/>
          <w:lang w:eastAsia="fr-FR"/>
        </w:rPr>
      </w:pPr>
      <w:r w:rsidRPr="000C4B5F">
        <w:rPr>
          <w:rFonts w:ascii="Arial" w:eastAsia="Times New Roman" w:hAnsi="Arial" w:cs="Arial"/>
          <w:color w:val="202122"/>
          <w:lang w:eastAsia="fr-FR"/>
        </w:rPr>
        <w:t>Le système A est un émetteur, le système B est un récepteur, la transmission des données est unidirectionnelle de A vers B.</w:t>
      </w:r>
    </w:p>
    <w:p w:rsidR="001B2C5F" w:rsidRPr="00F33014" w:rsidRDefault="001B2C5F" w:rsidP="00F33014">
      <w:pPr>
        <w:pStyle w:val="Paragraphedeliste"/>
        <w:numPr>
          <w:ilvl w:val="1"/>
          <w:numId w:val="8"/>
        </w:numPr>
        <w:jc w:val="both"/>
        <w:rPr>
          <w:rFonts w:ascii="Arial" w:eastAsia="Times New Roman" w:hAnsi="Arial" w:cs="Arial"/>
          <w:color w:val="202122"/>
          <w:lang w:eastAsia="fr-FR"/>
        </w:rPr>
      </w:pPr>
      <w:r w:rsidRPr="00F33014">
        <w:rPr>
          <w:rFonts w:ascii="Arial" w:eastAsia="Times New Roman" w:hAnsi="Arial" w:cs="Arial"/>
          <w:b/>
          <w:bCs/>
          <w:color w:val="202122"/>
          <w:lang w:eastAsia="fr-FR"/>
        </w:rPr>
        <w:t>Liaison semi-duplex (half-duplex</w:t>
      </w:r>
      <w:r w:rsidRPr="00F33014">
        <w:rPr>
          <w:rFonts w:ascii="Arial" w:eastAsia="Times New Roman" w:hAnsi="Arial" w:cs="Arial"/>
          <w:color w:val="202122"/>
          <w:lang w:eastAsia="fr-FR"/>
        </w:rPr>
        <w:t>)</w:t>
      </w:r>
    </w:p>
    <w:p w:rsidR="001B2C5F" w:rsidRDefault="001B2C5F" w:rsidP="004E449A">
      <w:pPr>
        <w:jc w:val="both"/>
        <w:rPr>
          <w:rFonts w:ascii="Arial" w:eastAsia="Times New Roman" w:hAnsi="Arial" w:cs="Arial"/>
          <w:color w:val="202122"/>
          <w:lang w:eastAsia="fr-FR"/>
        </w:rPr>
      </w:pPr>
      <w:r w:rsidRPr="000C4B5F">
        <w:rPr>
          <w:rFonts w:ascii="Arial" w:eastAsia="Times New Roman" w:hAnsi="Arial" w:cs="Arial"/>
          <w:color w:val="202122"/>
          <w:lang w:eastAsia="fr-FR"/>
        </w:rPr>
        <w:t>La transmission est possible dans les deux sens mais non simultanément, l’exploitation est en mode bidirectionnelle à l’alternat. Ce type de liaison est utilisé lorsque le support physique est commun aux deux sens de transmission (cas des ligne téléphoniques) et ne possède pas une largeur de bande suffisante pour permettre des liaisons bidirectionnelles simultanées par modulation de deux fréquences porteuses différentes ; des procédures particulières permettent alors d’inverser le sens de transmission (liaison CB par exemple).</w:t>
      </w:r>
    </w:p>
    <w:p w:rsidR="006217D0" w:rsidRPr="000C4B5F" w:rsidRDefault="006217D0" w:rsidP="004E449A">
      <w:pPr>
        <w:jc w:val="both"/>
        <w:rPr>
          <w:rFonts w:ascii="Arial" w:eastAsia="Times New Roman" w:hAnsi="Arial" w:cs="Arial"/>
          <w:color w:val="202122"/>
          <w:lang w:eastAsia="fr-FR"/>
        </w:rPr>
      </w:pPr>
    </w:p>
    <w:p w:rsidR="001B2C5F" w:rsidRPr="00F33014" w:rsidRDefault="001B2C5F" w:rsidP="00F33014">
      <w:pPr>
        <w:pStyle w:val="Paragraphedeliste"/>
        <w:numPr>
          <w:ilvl w:val="1"/>
          <w:numId w:val="8"/>
        </w:numPr>
        <w:jc w:val="both"/>
        <w:rPr>
          <w:rFonts w:ascii="Arial" w:eastAsia="Times New Roman" w:hAnsi="Arial" w:cs="Arial"/>
          <w:b/>
          <w:bCs/>
          <w:color w:val="202122"/>
          <w:lang w:eastAsia="fr-FR"/>
        </w:rPr>
      </w:pPr>
      <w:r w:rsidRPr="00F33014">
        <w:rPr>
          <w:rFonts w:ascii="Arial" w:eastAsia="Times New Roman" w:hAnsi="Arial" w:cs="Arial"/>
          <w:b/>
          <w:bCs/>
          <w:color w:val="202122"/>
          <w:lang w:eastAsia="fr-FR"/>
        </w:rPr>
        <w:lastRenderedPageBreak/>
        <w:t>Liaison Duplex intégral (full duplex)</w:t>
      </w:r>
    </w:p>
    <w:p w:rsidR="001B2C5F" w:rsidRPr="000C4B5F" w:rsidRDefault="001B2C5F" w:rsidP="004E449A">
      <w:pPr>
        <w:jc w:val="both"/>
        <w:rPr>
          <w:rFonts w:ascii="Arial" w:eastAsia="Times New Roman" w:hAnsi="Arial" w:cs="Arial"/>
          <w:color w:val="202122"/>
          <w:lang w:eastAsia="fr-FR"/>
        </w:rPr>
      </w:pPr>
      <w:r w:rsidRPr="000C4B5F">
        <w:rPr>
          <w:rFonts w:ascii="Arial" w:eastAsia="Times New Roman" w:hAnsi="Arial" w:cs="Arial"/>
          <w:color w:val="202122"/>
          <w:lang w:eastAsia="fr-FR"/>
        </w:rPr>
        <w:t>Les données peuvent être émises ou reçues simultanément dans les deux sens, l’exploitation est en mode bidirectionnelle simultané. A chaque sens de transmission correspond un canal de communication propre. Lorsque le support physique est commun aux deux sens de transmission, chaque canal est défini dans une bande de fréquence- spécifique.</w:t>
      </w:r>
    </w:p>
    <w:p w:rsidR="001B2C5F" w:rsidRPr="000C4B5F" w:rsidRDefault="001B2C5F" w:rsidP="004E449A">
      <w:pPr>
        <w:jc w:val="both"/>
        <w:rPr>
          <w:rFonts w:ascii="Arial" w:eastAsia="Times New Roman" w:hAnsi="Arial" w:cs="Arial"/>
          <w:color w:val="202122"/>
          <w:lang w:eastAsia="fr-FR"/>
        </w:rPr>
      </w:pPr>
    </w:p>
    <w:p w:rsidR="001B2C5F" w:rsidRPr="005126DD" w:rsidRDefault="001B2C5F" w:rsidP="00F33014">
      <w:pPr>
        <w:pStyle w:val="Paragraphedeliste"/>
        <w:numPr>
          <w:ilvl w:val="0"/>
          <w:numId w:val="8"/>
        </w:numPr>
        <w:jc w:val="both"/>
        <w:rPr>
          <w:rFonts w:ascii="Arial" w:eastAsia="Times New Roman" w:hAnsi="Arial" w:cs="Arial"/>
          <w:b/>
          <w:bCs/>
          <w:color w:val="202122"/>
          <w:sz w:val="24"/>
          <w:szCs w:val="24"/>
          <w:lang w:eastAsia="fr-FR"/>
        </w:rPr>
      </w:pPr>
      <w:r w:rsidRPr="005126DD">
        <w:rPr>
          <w:rFonts w:ascii="Arial" w:eastAsia="Times New Roman" w:hAnsi="Arial" w:cs="Arial"/>
          <w:b/>
          <w:bCs/>
          <w:color w:val="202122"/>
          <w:sz w:val="24"/>
          <w:szCs w:val="24"/>
          <w:lang w:eastAsia="fr-FR"/>
        </w:rPr>
        <w:t>Normalisation des jonctions</w:t>
      </w:r>
    </w:p>
    <w:p w:rsidR="001B2C5F" w:rsidRPr="000C4B5F" w:rsidRDefault="001B2C5F" w:rsidP="004E449A">
      <w:pPr>
        <w:jc w:val="both"/>
        <w:rPr>
          <w:rFonts w:ascii="Arial" w:eastAsia="Times New Roman" w:hAnsi="Arial" w:cs="Arial"/>
          <w:color w:val="202122"/>
          <w:lang w:eastAsia="fr-FR"/>
        </w:rPr>
      </w:pPr>
      <w:r w:rsidRPr="000C4B5F">
        <w:rPr>
          <w:rFonts w:ascii="Arial" w:eastAsia="Times New Roman" w:hAnsi="Arial" w:cs="Arial"/>
          <w:color w:val="202122"/>
          <w:lang w:eastAsia="fr-FR"/>
        </w:rPr>
        <w:t>Les principales normes électriques, mécaniques et fonctionnelles rencontrées dans les liaisons séries entre ETTD et ETCD et par extension entre deux ETTD, sont définies par les avis et recommandations de l’UIT-T, par ISO (International Standardisation Organisation), ainsi que par EIA (Electrical Industry Association).</w:t>
      </w:r>
    </w:p>
    <w:p w:rsidR="001B2C5F" w:rsidRPr="000C4B5F" w:rsidRDefault="001B2C5F" w:rsidP="004E449A">
      <w:pPr>
        <w:jc w:val="both"/>
        <w:rPr>
          <w:rFonts w:ascii="Arial" w:eastAsia="Times New Roman" w:hAnsi="Arial" w:cs="Arial"/>
          <w:color w:val="202122"/>
          <w:lang w:eastAsia="fr-FR"/>
        </w:rPr>
      </w:pPr>
      <w:r w:rsidRPr="000C4B5F">
        <w:rPr>
          <w:rFonts w:ascii="Arial" w:eastAsia="Times New Roman" w:hAnsi="Arial" w:cs="Arial"/>
          <w:color w:val="202122"/>
          <w:lang w:eastAsia="fr-FR"/>
        </w:rPr>
        <w:t>Certaines des normes sont équivalentes mais font l’objet de différentes appellations. Ainsi, la norme RS232C définie par EIA correspond aux avis V24 et V28 de l’UIT-T et la norme ISO 2110 qui fixent respectivement les caractéristiques fonctionnelles, électriques et mécaniques (définition des connecteurs) des liaisons.</w:t>
      </w:r>
    </w:p>
    <w:p w:rsidR="001B2C5F" w:rsidRPr="000C4B5F" w:rsidRDefault="001B2C5F" w:rsidP="004E449A">
      <w:pPr>
        <w:jc w:val="both"/>
        <w:rPr>
          <w:rFonts w:ascii="Arial" w:eastAsia="Times New Roman" w:hAnsi="Arial" w:cs="Arial"/>
          <w:color w:val="202122"/>
          <w:lang w:eastAsia="fr-FR"/>
        </w:rPr>
      </w:pPr>
      <w:r w:rsidRPr="000C4B5F">
        <w:rPr>
          <w:rFonts w:ascii="Arial" w:eastAsia="Times New Roman" w:hAnsi="Arial" w:cs="Arial"/>
          <w:color w:val="202122"/>
          <w:lang w:eastAsia="fr-FR"/>
        </w:rPr>
        <w:t>Les normes RS449 (V36) et RS530 conçues à l’origine pour remplacer RS232C restent incompatibles mécaniquement et électriquement avec cette dernière.</w:t>
      </w:r>
    </w:p>
    <w:p w:rsidR="001B2C5F" w:rsidRPr="000C4B5F" w:rsidRDefault="001B2C5F" w:rsidP="004E449A">
      <w:pPr>
        <w:jc w:val="both"/>
        <w:rPr>
          <w:rFonts w:ascii="Arial" w:eastAsia="Times New Roman" w:hAnsi="Arial" w:cs="Arial"/>
          <w:color w:val="202122"/>
          <w:lang w:eastAsia="fr-FR"/>
        </w:rPr>
      </w:pPr>
      <w:r w:rsidRPr="000C4B5F">
        <w:rPr>
          <w:rFonts w:ascii="Arial" w:eastAsia="Times New Roman" w:hAnsi="Arial" w:cs="Arial"/>
          <w:color w:val="202122"/>
          <w:lang w:eastAsia="fr-FR"/>
        </w:rPr>
        <w:t>La recommandation V35 a été définie à l’origine comme standard de communication à 48 kbit/s sur circuit 60-108 KHz.</w:t>
      </w:r>
    </w:p>
    <w:p w:rsidR="001B2C5F" w:rsidRPr="000C4B5F" w:rsidRDefault="001B2C5F" w:rsidP="004E449A">
      <w:pPr>
        <w:jc w:val="both"/>
        <w:rPr>
          <w:rFonts w:ascii="Arial" w:eastAsia="Times New Roman" w:hAnsi="Arial" w:cs="Arial"/>
          <w:color w:val="202122"/>
          <w:lang w:eastAsia="fr-FR"/>
        </w:rPr>
      </w:pPr>
      <w:r w:rsidRPr="000C4B5F">
        <w:rPr>
          <w:rFonts w:ascii="Arial" w:eastAsia="Times New Roman" w:hAnsi="Arial" w:cs="Arial"/>
          <w:color w:val="202122"/>
          <w:lang w:eastAsia="fr-FR"/>
        </w:rPr>
        <w:t>Le tableau</w:t>
      </w:r>
      <w:r w:rsidR="00211F6A">
        <w:rPr>
          <w:rFonts w:ascii="Arial" w:eastAsia="Times New Roman" w:hAnsi="Arial" w:cs="Arial"/>
          <w:color w:val="202122"/>
          <w:lang w:eastAsia="fr-FR"/>
        </w:rPr>
        <w:t xml:space="preserve"> 2.</w:t>
      </w:r>
      <w:r w:rsidRPr="000C4B5F">
        <w:rPr>
          <w:rFonts w:ascii="Arial" w:eastAsia="Times New Roman" w:hAnsi="Arial" w:cs="Arial"/>
          <w:color w:val="202122"/>
          <w:lang w:eastAsia="fr-FR"/>
        </w:rPr>
        <w:t>1 ci-dessous résume selon l’ordre de grandeur des débits, les interfaces couramment utilisées et les normes correspondantes.</w:t>
      </w:r>
    </w:p>
    <w:tbl>
      <w:tblPr>
        <w:tblStyle w:val="Grilledutableau"/>
        <w:tblW w:w="0" w:type="auto"/>
        <w:tblInd w:w="0" w:type="dxa"/>
        <w:tblLook w:val="04A0" w:firstRow="1" w:lastRow="0" w:firstColumn="1" w:lastColumn="0" w:noHBand="0" w:noVBand="1"/>
      </w:tblPr>
      <w:tblGrid>
        <w:gridCol w:w="2265"/>
        <w:gridCol w:w="2265"/>
        <w:gridCol w:w="2266"/>
        <w:gridCol w:w="2266"/>
      </w:tblGrid>
      <w:tr w:rsidR="001B2C5F" w:rsidRPr="000C4B5F" w:rsidTr="00D84742">
        <w:tc>
          <w:tcPr>
            <w:tcW w:w="6796" w:type="dxa"/>
            <w:gridSpan w:val="3"/>
            <w:tcBorders>
              <w:top w:val="single" w:sz="4" w:space="0" w:color="auto"/>
              <w:left w:val="single" w:sz="4" w:space="0" w:color="auto"/>
              <w:bottom w:val="single" w:sz="4" w:space="0" w:color="auto"/>
              <w:right w:val="single" w:sz="4" w:space="0" w:color="auto"/>
            </w:tcBorders>
          </w:tcPr>
          <w:p w:rsidR="001B2C5F" w:rsidRPr="000C4B5F" w:rsidRDefault="001B2C5F" w:rsidP="004E449A">
            <w:pPr>
              <w:spacing w:line="240" w:lineRule="auto"/>
              <w:jc w:val="both"/>
              <w:rPr>
                <w:rFonts w:ascii="Arial" w:eastAsia="Times New Roman" w:hAnsi="Arial" w:cs="Arial"/>
                <w:color w:val="202122"/>
                <w:lang w:eastAsia="fr-FR"/>
              </w:rPr>
            </w:pPr>
            <w:r w:rsidRPr="000C4B5F">
              <w:rPr>
                <w:rFonts w:ascii="Arial" w:eastAsia="Times New Roman" w:hAnsi="Arial" w:cs="Arial"/>
                <w:color w:val="202122"/>
                <w:lang w:eastAsia="fr-FR"/>
              </w:rPr>
              <w:t>NORMES</w:t>
            </w:r>
          </w:p>
        </w:tc>
        <w:tc>
          <w:tcPr>
            <w:tcW w:w="2266" w:type="dxa"/>
            <w:vMerge w:val="restart"/>
            <w:tcBorders>
              <w:top w:val="single" w:sz="4" w:space="0" w:color="auto"/>
              <w:left w:val="single" w:sz="4" w:space="0" w:color="auto"/>
              <w:right w:val="single" w:sz="4" w:space="0" w:color="auto"/>
            </w:tcBorders>
          </w:tcPr>
          <w:p w:rsidR="001B2C5F" w:rsidRPr="000C4B5F" w:rsidRDefault="001B2C5F" w:rsidP="004E449A">
            <w:pPr>
              <w:spacing w:line="240" w:lineRule="auto"/>
              <w:jc w:val="both"/>
              <w:rPr>
                <w:rFonts w:ascii="Arial" w:eastAsia="Times New Roman" w:hAnsi="Arial" w:cs="Arial"/>
                <w:color w:val="202122"/>
                <w:lang w:eastAsia="fr-FR"/>
              </w:rPr>
            </w:pPr>
            <w:r w:rsidRPr="000C4B5F">
              <w:rPr>
                <w:rFonts w:ascii="Arial" w:eastAsia="Times New Roman" w:hAnsi="Arial" w:cs="Arial"/>
                <w:color w:val="202122"/>
                <w:lang w:eastAsia="fr-FR"/>
              </w:rPr>
              <w:t>Débits</w:t>
            </w:r>
          </w:p>
        </w:tc>
      </w:tr>
      <w:tr w:rsidR="001B2C5F" w:rsidRPr="000C4B5F" w:rsidTr="00D84742">
        <w:tc>
          <w:tcPr>
            <w:tcW w:w="2265" w:type="dxa"/>
            <w:tcBorders>
              <w:top w:val="single" w:sz="4" w:space="0" w:color="auto"/>
              <w:left w:val="single" w:sz="4" w:space="0" w:color="auto"/>
              <w:bottom w:val="single" w:sz="4" w:space="0" w:color="auto"/>
              <w:right w:val="single" w:sz="4" w:space="0" w:color="auto"/>
            </w:tcBorders>
          </w:tcPr>
          <w:p w:rsidR="001B2C5F" w:rsidRPr="000C4B5F" w:rsidRDefault="001B2C5F" w:rsidP="004E449A">
            <w:pPr>
              <w:spacing w:line="240" w:lineRule="auto"/>
              <w:jc w:val="both"/>
              <w:rPr>
                <w:rFonts w:ascii="Arial" w:eastAsia="Times New Roman" w:hAnsi="Arial" w:cs="Arial"/>
                <w:color w:val="202122"/>
                <w:lang w:eastAsia="fr-FR"/>
              </w:rPr>
            </w:pPr>
            <w:r w:rsidRPr="000C4B5F">
              <w:rPr>
                <w:rFonts w:ascii="Arial" w:eastAsia="Times New Roman" w:hAnsi="Arial" w:cs="Arial"/>
                <w:color w:val="202122"/>
                <w:lang w:eastAsia="fr-FR"/>
              </w:rPr>
              <w:t>Electrique</w:t>
            </w:r>
          </w:p>
        </w:tc>
        <w:tc>
          <w:tcPr>
            <w:tcW w:w="2265" w:type="dxa"/>
            <w:tcBorders>
              <w:top w:val="single" w:sz="4" w:space="0" w:color="auto"/>
              <w:left w:val="single" w:sz="4" w:space="0" w:color="auto"/>
              <w:bottom w:val="single" w:sz="4" w:space="0" w:color="auto"/>
              <w:right w:val="single" w:sz="4" w:space="0" w:color="auto"/>
            </w:tcBorders>
          </w:tcPr>
          <w:p w:rsidR="001B2C5F" w:rsidRPr="000C4B5F" w:rsidRDefault="001B2C5F" w:rsidP="004E449A">
            <w:pPr>
              <w:spacing w:line="240" w:lineRule="auto"/>
              <w:jc w:val="both"/>
              <w:rPr>
                <w:rFonts w:ascii="Arial" w:eastAsia="Times New Roman" w:hAnsi="Arial" w:cs="Arial"/>
                <w:color w:val="202122"/>
                <w:lang w:eastAsia="fr-FR"/>
              </w:rPr>
            </w:pPr>
            <w:r w:rsidRPr="000C4B5F">
              <w:rPr>
                <w:rFonts w:ascii="Arial" w:eastAsia="Times New Roman" w:hAnsi="Arial" w:cs="Arial"/>
                <w:color w:val="202122"/>
                <w:lang w:eastAsia="fr-FR"/>
              </w:rPr>
              <w:t>Mécanique</w:t>
            </w:r>
          </w:p>
        </w:tc>
        <w:tc>
          <w:tcPr>
            <w:tcW w:w="2266" w:type="dxa"/>
            <w:tcBorders>
              <w:top w:val="single" w:sz="4" w:space="0" w:color="auto"/>
              <w:left w:val="single" w:sz="4" w:space="0" w:color="auto"/>
              <w:bottom w:val="single" w:sz="4" w:space="0" w:color="auto"/>
              <w:right w:val="single" w:sz="4" w:space="0" w:color="auto"/>
            </w:tcBorders>
          </w:tcPr>
          <w:p w:rsidR="001B2C5F" w:rsidRPr="000C4B5F" w:rsidRDefault="001B2C5F" w:rsidP="004E449A">
            <w:pPr>
              <w:spacing w:line="240" w:lineRule="auto"/>
              <w:jc w:val="both"/>
              <w:rPr>
                <w:rFonts w:ascii="Arial" w:eastAsia="Times New Roman" w:hAnsi="Arial" w:cs="Arial"/>
                <w:color w:val="202122"/>
                <w:lang w:eastAsia="fr-FR"/>
              </w:rPr>
            </w:pPr>
            <w:r w:rsidRPr="000C4B5F">
              <w:rPr>
                <w:rFonts w:ascii="Arial" w:eastAsia="Times New Roman" w:hAnsi="Arial" w:cs="Arial"/>
                <w:color w:val="202122"/>
                <w:lang w:eastAsia="fr-FR"/>
              </w:rPr>
              <w:t>Fonctionnelle</w:t>
            </w:r>
          </w:p>
        </w:tc>
        <w:tc>
          <w:tcPr>
            <w:tcW w:w="2266" w:type="dxa"/>
            <w:vMerge/>
            <w:tcBorders>
              <w:left w:val="single" w:sz="4" w:space="0" w:color="auto"/>
              <w:bottom w:val="single" w:sz="4" w:space="0" w:color="auto"/>
              <w:right w:val="single" w:sz="4" w:space="0" w:color="auto"/>
            </w:tcBorders>
          </w:tcPr>
          <w:p w:rsidR="001B2C5F" w:rsidRPr="000C4B5F" w:rsidRDefault="001B2C5F" w:rsidP="004E449A">
            <w:pPr>
              <w:spacing w:line="240" w:lineRule="auto"/>
              <w:jc w:val="both"/>
              <w:rPr>
                <w:rFonts w:ascii="Arial" w:eastAsia="Times New Roman" w:hAnsi="Arial" w:cs="Arial"/>
                <w:color w:val="202122"/>
                <w:lang w:eastAsia="fr-FR"/>
              </w:rPr>
            </w:pPr>
          </w:p>
        </w:tc>
      </w:tr>
      <w:tr w:rsidR="006D067D" w:rsidRPr="000C4B5F" w:rsidTr="00FF018B">
        <w:tc>
          <w:tcPr>
            <w:tcW w:w="2265" w:type="dxa"/>
            <w:tcBorders>
              <w:top w:val="single" w:sz="4" w:space="0" w:color="auto"/>
              <w:left w:val="single" w:sz="4" w:space="0" w:color="auto"/>
              <w:bottom w:val="single" w:sz="4" w:space="0" w:color="auto"/>
              <w:right w:val="single" w:sz="4" w:space="0" w:color="auto"/>
            </w:tcBorders>
          </w:tcPr>
          <w:p w:rsidR="006D067D" w:rsidRPr="000C4B5F" w:rsidRDefault="006D067D" w:rsidP="004E449A">
            <w:pPr>
              <w:spacing w:line="240" w:lineRule="auto"/>
              <w:jc w:val="both"/>
              <w:rPr>
                <w:rFonts w:ascii="Arial" w:eastAsia="Times New Roman" w:hAnsi="Arial" w:cs="Arial"/>
                <w:color w:val="202122"/>
                <w:lang w:eastAsia="fr-FR"/>
              </w:rPr>
            </w:pPr>
            <w:r w:rsidRPr="000C4B5F">
              <w:rPr>
                <w:rFonts w:ascii="Arial" w:eastAsia="Times New Roman" w:hAnsi="Arial" w:cs="Arial"/>
                <w:color w:val="202122"/>
                <w:lang w:eastAsia="fr-FR"/>
              </w:rPr>
              <w:t>UIT-T V28</w:t>
            </w:r>
          </w:p>
        </w:tc>
        <w:tc>
          <w:tcPr>
            <w:tcW w:w="2265" w:type="dxa"/>
            <w:tcBorders>
              <w:top w:val="single" w:sz="4" w:space="0" w:color="auto"/>
              <w:left w:val="single" w:sz="4" w:space="0" w:color="auto"/>
              <w:bottom w:val="single" w:sz="4" w:space="0" w:color="auto"/>
              <w:right w:val="single" w:sz="4" w:space="0" w:color="auto"/>
            </w:tcBorders>
          </w:tcPr>
          <w:p w:rsidR="006D067D" w:rsidRPr="000C4B5F" w:rsidRDefault="006D067D" w:rsidP="004E449A">
            <w:pPr>
              <w:spacing w:line="240" w:lineRule="auto"/>
              <w:jc w:val="both"/>
              <w:rPr>
                <w:rFonts w:ascii="Arial" w:eastAsia="Times New Roman" w:hAnsi="Arial" w:cs="Arial"/>
                <w:color w:val="202122"/>
                <w:lang w:eastAsia="fr-FR"/>
              </w:rPr>
            </w:pPr>
            <w:r w:rsidRPr="000C4B5F">
              <w:rPr>
                <w:rFonts w:ascii="Arial" w:eastAsia="Times New Roman" w:hAnsi="Arial" w:cs="Arial"/>
                <w:color w:val="202122"/>
                <w:lang w:eastAsia="fr-FR"/>
              </w:rPr>
              <w:t>ISO 2110 (DB25)</w:t>
            </w:r>
          </w:p>
        </w:tc>
        <w:tc>
          <w:tcPr>
            <w:tcW w:w="2266" w:type="dxa"/>
            <w:tcBorders>
              <w:top w:val="single" w:sz="4" w:space="0" w:color="auto"/>
              <w:left w:val="single" w:sz="4" w:space="0" w:color="auto"/>
              <w:bottom w:val="single" w:sz="4" w:space="0" w:color="auto"/>
              <w:right w:val="single" w:sz="4" w:space="0" w:color="auto"/>
            </w:tcBorders>
          </w:tcPr>
          <w:p w:rsidR="006D067D" w:rsidRPr="000C4B5F" w:rsidRDefault="006D067D" w:rsidP="004E449A">
            <w:pPr>
              <w:spacing w:line="240" w:lineRule="auto"/>
              <w:jc w:val="both"/>
              <w:rPr>
                <w:rFonts w:ascii="Arial" w:eastAsia="Times New Roman" w:hAnsi="Arial" w:cs="Arial"/>
                <w:color w:val="202122"/>
                <w:lang w:eastAsia="fr-FR"/>
              </w:rPr>
            </w:pPr>
            <w:r w:rsidRPr="000C4B5F">
              <w:rPr>
                <w:rFonts w:ascii="Arial" w:eastAsia="Times New Roman" w:hAnsi="Arial" w:cs="Arial"/>
                <w:color w:val="202122"/>
                <w:lang w:eastAsia="fr-FR"/>
              </w:rPr>
              <w:t>UIT-V24</w:t>
            </w:r>
          </w:p>
        </w:tc>
        <w:tc>
          <w:tcPr>
            <w:tcW w:w="2266" w:type="dxa"/>
            <w:vMerge w:val="restart"/>
            <w:tcBorders>
              <w:top w:val="single" w:sz="4" w:space="0" w:color="auto"/>
              <w:left w:val="single" w:sz="4" w:space="0" w:color="auto"/>
              <w:right w:val="single" w:sz="4" w:space="0" w:color="auto"/>
            </w:tcBorders>
          </w:tcPr>
          <w:p w:rsidR="006D067D" w:rsidRPr="000C4B5F" w:rsidRDefault="006D067D" w:rsidP="004E449A">
            <w:pPr>
              <w:spacing w:line="240" w:lineRule="auto"/>
              <w:jc w:val="both"/>
              <w:rPr>
                <w:rFonts w:ascii="Arial" w:eastAsia="Times New Roman" w:hAnsi="Arial" w:cs="Arial"/>
                <w:color w:val="202122"/>
                <w:lang w:eastAsia="fr-FR"/>
              </w:rPr>
            </w:pPr>
            <w:r w:rsidRPr="000C4B5F">
              <w:rPr>
                <w:rFonts w:ascii="Arial" w:eastAsia="Times New Roman" w:hAnsi="Arial" w:cs="Arial"/>
                <w:color w:val="202122"/>
                <w:lang w:eastAsia="fr-FR"/>
              </w:rPr>
              <w:t>&lt;20 Kbit/s</w:t>
            </w:r>
          </w:p>
        </w:tc>
      </w:tr>
      <w:tr w:rsidR="006D067D" w:rsidRPr="000C4B5F" w:rsidTr="00FF018B">
        <w:tc>
          <w:tcPr>
            <w:tcW w:w="6796" w:type="dxa"/>
            <w:gridSpan w:val="3"/>
            <w:tcBorders>
              <w:top w:val="single" w:sz="4" w:space="0" w:color="auto"/>
              <w:left w:val="single" w:sz="4" w:space="0" w:color="auto"/>
              <w:bottom w:val="single" w:sz="4" w:space="0" w:color="auto"/>
              <w:right w:val="single" w:sz="4" w:space="0" w:color="auto"/>
            </w:tcBorders>
          </w:tcPr>
          <w:p w:rsidR="006D067D" w:rsidRPr="000C4B5F" w:rsidRDefault="006D067D" w:rsidP="004E449A">
            <w:pPr>
              <w:spacing w:line="240" w:lineRule="auto"/>
              <w:jc w:val="both"/>
              <w:rPr>
                <w:rFonts w:ascii="Arial" w:eastAsia="Times New Roman" w:hAnsi="Arial" w:cs="Arial"/>
                <w:color w:val="202122"/>
                <w:lang w:eastAsia="fr-FR"/>
              </w:rPr>
            </w:pPr>
            <w:r w:rsidRPr="000C4B5F">
              <w:rPr>
                <w:rFonts w:ascii="Arial" w:eastAsia="Times New Roman" w:hAnsi="Arial" w:cs="Arial"/>
                <w:color w:val="202122"/>
                <w:lang w:eastAsia="fr-FR"/>
              </w:rPr>
              <w:t>EIARS232C</w:t>
            </w:r>
          </w:p>
        </w:tc>
        <w:tc>
          <w:tcPr>
            <w:tcW w:w="2266" w:type="dxa"/>
            <w:vMerge/>
            <w:tcBorders>
              <w:left w:val="single" w:sz="4" w:space="0" w:color="auto"/>
              <w:bottom w:val="single" w:sz="4" w:space="0" w:color="auto"/>
              <w:right w:val="single" w:sz="4" w:space="0" w:color="auto"/>
            </w:tcBorders>
          </w:tcPr>
          <w:p w:rsidR="006D067D" w:rsidRPr="000C4B5F" w:rsidRDefault="006D067D" w:rsidP="004E449A">
            <w:pPr>
              <w:spacing w:line="240" w:lineRule="auto"/>
              <w:jc w:val="both"/>
              <w:rPr>
                <w:rFonts w:ascii="Arial" w:eastAsia="Times New Roman" w:hAnsi="Arial" w:cs="Arial"/>
                <w:color w:val="202122"/>
                <w:lang w:eastAsia="fr-FR"/>
              </w:rPr>
            </w:pPr>
          </w:p>
        </w:tc>
      </w:tr>
      <w:tr w:rsidR="006D067D" w:rsidRPr="000C4B5F" w:rsidTr="00C831E7">
        <w:tc>
          <w:tcPr>
            <w:tcW w:w="2265" w:type="dxa"/>
            <w:vMerge w:val="restart"/>
            <w:tcBorders>
              <w:top w:val="single" w:sz="4" w:space="0" w:color="auto"/>
              <w:left w:val="single" w:sz="4" w:space="0" w:color="auto"/>
              <w:right w:val="single" w:sz="4" w:space="0" w:color="auto"/>
            </w:tcBorders>
          </w:tcPr>
          <w:p w:rsidR="006D067D" w:rsidRPr="000C4B5F" w:rsidRDefault="006D067D" w:rsidP="004E449A">
            <w:pPr>
              <w:spacing w:line="240" w:lineRule="auto"/>
              <w:jc w:val="both"/>
              <w:rPr>
                <w:rFonts w:ascii="Arial" w:eastAsia="Times New Roman" w:hAnsi="Arial" w:cs="Arial"/>
                <w:color w:val="202122"/>
                <w:lang w:eastAsia="fr-FR"/>
              </w:rPr>
            </w:pPr>
            <w:r w:rsidRPr="000C4B5F">
              <w:rPr>
                <w:rFonts w:ascii="Arial" w:eastAsia="Times New Roman" w:hAnsi="Arial" w:cs="Arial"/>
                <w:color w:val="202122"/>
                <w:lang w:eastAsia="fr-FR"/>
              </w:rPr>
              <w:t>UIT-TV11/V10</w:t>
            </w:r>
          </w:p>
          <w:p w:rsidR="006D067D" w:rsidRPr="000C4B5F" w:rsidRDefault="006D067D" w:rsidP="004E449A">
            <w:pPr>
              <w:spacing w:line="240" w:lineRule="auto"/>
              <w:jc w:val="both"/>
              <w:rPr>
                <w:rFonts w:ascii="Arial" w:eastAsia="Times New Roman" w:hAnsi="Arial" w:cs="Arial"/>
                <w:color w:val="202122"/>
                <w:lang w:eastAsia="fr-FR"/>
              </w:rPr>
            </w:pPr>
            <w:r w:rsidRPr="000C4B5F">
              <w:rPr>
                <w:rFonts w:ascii="Arial" w:eastAsia="Times New Roman" w:hAnsi="Arial" w:cs="Arial"/>
                <w:color w:val="202122"/>
                <w:lang w:eastAsia="fr-FR"/>
              </w:rPr>
              <w:t>EIA RS422/RS423</w:t>
            </w:r>
          </w:p>
          <w:p w:rsidR="006D067D" w:rsidRPr="000C4B5F" w:rsidRDefault="006D067D" w:rsidP="004E449A">
            <w:pPr>
              <w:spacing w:line="240" w:lineRule="auto"/>
              <w:jc w:val="both"/>
              <w:rPr>
                <w:rFonts w:ascii="Arial" w:eastAsia="Times New Roman" w:hAnsi="Arial" w:cs="Arial"/>
                <w:color w:val="202122"/>
                <w:lang w:eastAsia="fr-FR"/>
              </w:rPr>
            </w:pPr>
            <w:r w:rsidRPr="000C4B5F">
              <w:rPr>
                <w:rFonts w:ascii="Arial" w:eastAsia="Times New Roman" w:hAnsi="Arial" w:cs="Arial"/>
                <w:color w:val="202122"/>
                <w:lang w:eastAsia="fr-FR"/>
              </w:rPr>
              <w:t>Et RS485</w:t>
            </w:r>
          </w:p>
        </w:tc>
        <w:tc>
          <w:tcPr>
            <w:tcW w:w="2265" w:type="dxa"/>
            <w:tcBorders>
              <w:top w:val="single" w:sz="4" w:space="0" w:color="auto"/>
              <w:left w:val="single" w:sz="4" w:space="0" w:color="auto"/>
              <w:bottom w:val="single" w:sz="4" w:space="0" w:color="auto"/>
              <w:right w:val="single" w:sz="4" w:space="0" w:color="auto"/>
            </w:tcBorders>
          </w:tcPr>
          <w:p w:rsidR="006D067D" w:rsidRPr="000C4B5F" w:rsidRDefault="006D067D" w:rsidP="004E449A">
            <w:pPr>
              <w:spacing w:line="240" w:lineRule="auto"/>
              <w:jc w:val="both"/>
              <w:rPr>
                <w:rFonts w:ascii="Arial" w:eastAsia="Times New Roman" w:hAnsi="Arial" w:cs="Arial"/>
                <w:color w:val="202122"/>
                <w:lang w:eastAsia="fr-FR"/>
              </w:rPr>
            </w:pPr>
            <w:r w:rsidRPr="000C4B5F">
              <w:rPr>
                <w:rFonts w:ascii="Arial" w:eastAsia="Times New Roman" w:hAnsi="Arial" w:cs="Arial"/>
                <w:color w:val="202122"/>
                <w:lang w:eastAsia="fr-FR"/>
              </w:rPr>
              <w:t>ISO2593</w:t>
            </w:r>
          </w:p>
          <w:p w:rsidR="006D067D" w:rsidRPr="000C4B5F" w:rsidRDefault="006D067D" w:rsidP="004E449A">
            <w:pPr>
              <w:spacing w:line="240" w:lineRule="auto"/>
              <w:jc w:val="both"/>
              <w:rPr>
                <w:rFonts w:ascii="Arial" w:eastAsia="Times New Roman" w:hAnsi="Arial" w:cs="Arial"/>
                <w:color w:val="202122"/>
                <w:lang w:eastAsia="fr-FR"/>
              </w:rPr>
            </w:pPr>
            <w:r w:rsidRPr="000C4B5F">
              <w:rPr>
                <w:rFonts w:ascii="Arial" w:eastAsia="Times New Roman" w:hAnsi="Arial" w:cs="Arial"/>
                <w:color w:val="202122"/>
                <w:lang w:eastAsia="fr-FR"/>
              </w:rPr>
              <w:t>(34 broches)</w:t>
            </w:r>
          </w:p>
        </w:tc>
        <w:tc>
          <w:tcPr>
            <w:tcW w:w="2266" w:type="dxa"/>
            <w:tcBorders>
              <w:top w:val="single" w:sz="4" w:space="0" w:color="auto"/>
              <w:left w:val="single" w:sz="4" w:space="0" w:color="auto"/>
              <w:bottom w:val="single" w:sz="4" w:space="0" w:color="auto"/>
              <w:right w:val="single" w:sz="4" w:space="0" w:color="auto"/>
            </w:tcBorders>
          </w:tcPr>
          <w:p w:rsidR="006D067D" w:rsidRPr="000C4B5F" w:rsidRDefault="006D067D" w:rsidP="004E449A">
            <w:pPr>
              <w:spacing w:line="240" w:lineRule="auto"/>
              <w:jc w:val="both"/>
              <w:rPr>
                <w:rFonts w:ascii="Arial" w:eastAsia="Times New Roman" w:hAnsi="Arial" w:cs="Arial"/>
                <w:color w:val="202122"/>
                <w:lang w:eastAsia="fr-FR"/>
              </w:rPr>
            </w:pPr>
            <w:r w:rsidRPr="000C4B5F">
              <w:rPr>
                <w:rFonts w:ascii="Arial" w:eastAsia="Times New Roman" w:hAnsi="Arial" w:cs="Arial"/>
                <w:color w:val="202122"/>
                <w:lang w:eastAsia="fr-FR"/>
              </w:rPr>
              <w:t>UIT-T V24</w:t>
            </w:r>
          </w:p>
        </w:tc>
        <w:tc>
          <w:tcPr>
            <w:tcW w:w="2266" w:type="dxa"/>
            <w:vMerge w:val="restart"/>
            <w:tcBorders>
              <w:top w:val="single" w:sz="4" w:space="0" w:color="auto"/>
              <w:left w:val="single" w:sz="4" w:space="0" w:color="auto"/>
              <w:right w:val="single" w:sz="4" w:space="0" w:color="auto"/>
            </w:tcBorders>
          </w:tcPr>
          <w:p w:rsidR="0062186F" w:rsidRPr="000C4B5F" w:rsidRDefault="0062186F" w:rsidP="004E449A">
            <w:pPr>
              <w:spacing w:line="240" w:lineRule="auto"/>
              <w:jc w:val="both"/>
              <w:rPr>
                <w:rFonts w:ascii="Arial" w:eastAsia="Times New Roman" w:hAnsi="Arial" w:cs="Arial"/>
                <w:color w:val="202122"/>
                <w:lang w:eastAsia="fr-FR"/>
              </w:rPr>
            </w:pPr>
          </w:p>
          <w:p w:rsidR="006D067D" w:rsidRPr="000C4B5F" w:rsidRDefault="006D067D" w:rsidP="004E449A">
            <w:pPr>
              <w:spacing w:line="240" w:lineRule="auto"/>
              <w:jc w:val="both"/>
              <w:rPr>
                <w:rFonts w:ascii="Arial" w:eastAsia="Times New Roman" w:hAnsi="Arial" w:cs="Arial"/>
                <w:color w:val="202122"/>
                <w:lang w:eastAsia="fr-FR"/>
              </w:rPr>
            </w:pPr>
            <w:r w:rsidRPr="000C4B5F">
              <w:rPr>
                <w:rFonts w:ascii="Arial" w:eastAsia="Times New Roman" w:hAnsi="Arial" w:cs="Arial"/>
                <w:color w:val="202122"/>
                <w:lang w:eastAsia="fr-FR"/>
              </w:rPr>
              <w:t>48 Kbit/s</w:t>
            </w:r>
          </w:p>
        </w:tc>
      </w:tr>
      <w:tr w:rsidR="006D067D" w:rsidRPr="000C4B5F" w:rsidTr="00C831E7">
        <w:tc>
          <w:tcPr>
            <w:tcW w:w="2265" w:type="dxa"/>
            <w:vMerge/>
            <w:tcBorders>
              <w:left w:val="single" w:sz="4" w:space="0" w:color="auto"/>
              <w:bottom w:val="single" w:sz="4" w:space="0" w:color="auto"/>
              <w:right w:val="single" w:sz="4" w:space="0" w:color="auto"/>
            </w:tcBorders>
          </w:tcPr>
          <w:p w:rsidR="006D067D" w:rsidRPr="000C4B5F" w:rsidRDefault="006D067D" w:rsidP="004E449A">
            <w:pPr>
              <w:spacing w:line="240" w:lineRule="auto"/>
              <w:jc w:val="both"/>
              <w:rPr>
                <w:rFonts w:ascii="Arial" w:eastAsia="Times New Roman" w:hAnsi="Arial" w:cs="Arial"/>
                <w:color w:val="202122"/>
                <w:lang w:eastAsia="fr-FR"/>
              </w:rPr>
            </w:pPr>
          </w:p>
        </w:tc>
        <w:tc>
          <w:tcPr>
            <w:tcW w:w="4531" w:type="dxa"/>
            <w:gridSpan w:val="2"/>
            <w:tcBorders>
              <w:top w:val="single" w:sz="4" w:space="0" w:color="auto"/>
              <w:left w:val="single" w:sz="4" w:space="0" w:color="auto"/>
              <w:bottom w:val="single" w:sz="4" w:space="0" w:color="auto"/>
              <w:right w:val="single" w:sz="4" w:space="0" w:color="auto"/>
            </w:tcBorders>
          </w:tcPr>
          <w:p w:rsidR="006D067D" w:rsidRPr="000C4B5F" w:rsidRDefault="006D067D" w:rsidP="004E449A">
            <w:pPr>
              <w:spacing w:line="240" w:lineRule="auto"/>
              <w:jc w:val="both"/>
              <w:rPr>
                <w:rFonts w:ascii="Arial" w:eastAsia="Times New Roman" w:hAnsi="Arial" w:cs="Arial"/>
                <w:color w:val="202122"/>
                <w:lang w:eastAsia="fr-FR"/>
              </w:rPr>
            </w:pPr>
            <w:r w:rsidRPr="000C4B5F">
              <w:rPr>
                <w:rFonts w:ascii="Arial" w:eastAsia="Times New Roman" w:hAnsi="Arial" w:cs="Arial"/>
                <w:color w:val="202122"/>
                <w:lang w:eastAsia="fr-FR"/>
              </w:rPr>
              <w:t>UIT-T V35</w:t>
            </w:r>
          </w:p>
        </w:tc>
        <w:tc>
          <w:tcPr>
            <w:tcW w:w="2266" w:type="dxa"/>
            <w:vMerge/>
            <w:tcBorders>
              <w:left w:val="single" w:sz="4" w:space="0" w:color="auto"/>
              <w:bottom w:val="single" w:sz="4" w:space="0" w:color="auto"/>
              <w:right w:val="single" w:sz="4" w:space="0" w:color="auto"/>
            </w:tcBorders>
          </w:tcPr>
          <w:p w:rsidR="006D067D" w:rsidRPr="000C4B5F" w:rsidRDefault="006D067D" w:rsidP="004E449A">
            <w:pPr>
              <w:spacing w:line="240" w:lineRule="auto"/>
              <w:jc w:val="both"/>
              <w:rPr>
                <w:rFonts w:ascii="Arial" w:eastAsia="Times New Roman" w:hAnsi="Arial" w:cs="Arial"/>
                <w:color w:val="202122"/>
                <w:lang w:eastAsia="fr-FR"/>
              </w:rPr>
            </w:pPr>
          </w:p>
        </w:tc>
      </w:tr>
      <w:tr w:rsidR="006D067D" w:rsidRPr="000C4B5F" w:rsidTr="00A32BAD">
        <w:tc>
          <w:tcPr>
            <w:tcW w:w="2265" w:type="dxa"/>
            <w:vMerge w:val="restart"/>
            <w:tcBorders>
              <w:top w:val="single" w:sz="4" w:space="0" w:color="auto"/>
              <w:left w:val="single" w:sz="4" w:space="0" w:color="auto"/>
              <w:right w:val="single" w:sz="4" w:space="0" w:color="auto"/>
            </w:tcBorders>
          </w:tcPr>
          <w:p w:rsidR="006D067D" w:rsidRPr="000C4B5F" w:rsidRDefault="006D067D" w:rsidP="004E449A">
            <w:pPr>
              <w:spacing w:line="240" w:lineRule="auto"/>
              <w:jc w:val="both"/>
              <w:rPr>
                <w:rFonts w:ascii="Arial" w:eastAsia="Times New Roman" w:hAnsi="Arial" w:cs="Arial"/>
                <w:color w:val="202122"/>
                <w:lang w:eastAsia="fr-FR"/>
              </w:rPr>
            </w:pPr>
            <w:r w:rsidRPr="000C4B5F">
              <w:rPr>
                <w:rFonts w:ascii="Arial" w:eastAsia="Times New Roman" w:hAnsi="Arial" w:cs="Arial"/>
                <w:color w:val="202122"/>
                <w:lang w:eastAsia="fr-FR"/>
              </w:rPr>
              <w:t>UIT-T V11/V10</w:t>
            </w:r>
          </w:p>
        </w:tc>
        <w:tc>
          <w:tcPr>
            <w:tcW w:w="2265" w:type="dxa"/>
            <w:tcBorders>
              <w:top w:val="single" w:sz="4" w:space="0" w:color="auto"/>
              <w:left w:val="single" w:sz="4" w:space="0" w:color="auto"/>
              <w:bottom w:val="single" w:sz="4" w:space="0" w:color="auto"/>
              <w:right w:val="single" w:sz="4" w:space="0" w:color="auto"/>
            </w:tcBorders>
          </w:tcPr>
          <w:p w:rsidR="006D067D" w:rsidRPr="000C4B5F" w:rsidRDefault="006D067D" w:rsidP="004E449A">
            <w:pPr>
              <w:spacing w:line="240" w:lineRule="auto"/>
              <w:jc w:val="both"/>
              <w:rPr>
                <w:rFonts w:ascii="Arial" w:eastAsia="Times New Roman" w:hAnsi="Arial" w:cs="Arial"/>
                <w:color w:val="202122"/>
                <w:lang w:eastAsia="fr-FR"/>
              </w:rPr>
            </w:pPr>
            <w:r w:rsidRPr="000C4B5F">
              <w:rPr>
                <w:rFonts w:ascii="Arial" w:eastAsia="Times New Roman" w:hAnsi="Arial" w:cs="Arial"/>
                <w:color w:val="202122"/>
                <w:lang w:eastAsia="fr-FR"/>
              </w:rPr>
              <w:t>ISO4902 (DB37)</w:t>
            </w:r>
          </w:p>
        </w:tc>
        <w:tc>
          <w:tcPr>
            <w:tcW w:w="2266" w:type="dxa"/>
            <w:tcBorders>
              <w:top w:val="single" w:sz="4" w:space="0" w:color="auto"/>
              <w:left w:val="single" w:sz="4" w:space="0" w:color="auto"/>
              <w:bottom w:val="single" w:sz="4" w:space="0" w:color="auto"/>
              <w:right w:val="single" w:sz="4" w:space="0" w:color="auto"/>
            </w:tcBorders>
          </w:tcPr>
          <w:p w:rsidR="006D067D" w:rsidRPr="000C4B5F" w:rsidRDefault="006D067D" w:rsidP="004E449A">
            <w:pPr>
              <w:spacing w:line="240" w:lineRule="auto"/>
              <w:jc w:val="both"/>
              <w:rPr>
                <w:rFonts w:ascii="Arial" w:eastAsia="Times New Roman" w:hAnsi="Arial" w:cs="Arial"/>
                <w:color w:val="202122"/>
                <w:lang w:eastAsia="fr-FR"/>
              </w:rPr>
            </w:pPr>
            <w:r w:rsidRPr="000C4B5F">
              <w:rPr>
                <w:rFonts w:ascii="Arial" w:eastAsia="Times New Roman" w:hAnsi="Arial" w:cs="Arial"/>
                <w:color w:val="202122"/>
                <w:lang w:eastAsia="fr-FR"/>
              </w:rPr>
              <w:t>UIT-T V24</w:t>
            </w:r>
          </w:p>
        </w:tc>
        <w:tc>
          <w:tcPr>
            <w:tcW w:w="2266" w:type="dxa"/>
            <w:vMerge w:val="restart"/>
            <w:tcBorders>
              <w:top w:val="single" w:sz="4" w:space="0" w:color="auto"/>
              <w:left w:val="single" w:sz="4" w:space="0" w:color="auto"/>
              <w:right w:val="single" w:sz="4" w:space="0" w:color="auto"/>
            </w:tcBorders>
          </w:tcPr>
          <w:p w:rsidR="006D067D" w:rsidRPr="000C4B5F" w:rsidRDefault="006D067D" w:rsidP="004E449A">
            <w:pPr>
              <w:spacing w:line="240" w:lineRule="auto"/>
              <w:jc w:val="both"/>
              <w:rPr>
                <w:rFonts w:ascii="Arial" w:eastAsia="Times New Roman" w:hAnsi="Arial" w:cs="Arial"/>
                <w:color w:val="202122"/>
                <w:lang w:eastAsia="fr-FR"/>
              </w:rPr>
            </w:pPr>
            <w:r w:rsidRPr="000C4B5F">
              <w:rPr>
                <w:rFonts w:ascii="Arial" w:eastAsia="Times New Roman" w:hAnsi="Arial" w:cs="Arial"/>
                <w:color w:val="202122"/>
                <w:lang w:eastAsia="fr-FR"/>
              </w:rPr>
              <w:t>&lt; 2 Mbit/s</w:t>
            </w:r>
          </w:p>
        </w:tc>
      </w:tr>
      <w:tr w:rsidR="006D067D" w:rsidRPr="000C4B5F" w:rsidTr="00A32BAD">
        <w:tc>
          <w:tcPr>
            <w:tcW w:w="2265" w:type="dxa"/>
            <w:vMerge/>
            <w:tcBorders>
              <w:left w:val="single" w:sz="4" w:space="0" w:color="auto"/>
              <w:bottom w:val="single" w:sz="4" w:space="0" w:color="auto"/>
              <w:right w:val="single" w:sz="4" w:space="0" w:color="auto"/>
            </w:tcBorders>
          </w:tcPr>
          <w:p w:rsidR="006D067D" w:rsidRPr="000C4B5F" w:rsidRDefault="006D067D" w:rsidP="004E449A">
            <w:pPr>
              <w:spacing w:line="240" w:lineRule="auto"/>
              <w:jc w:val="both"/>
              <w:rPr>
                <w:rFonts w:ascii="Arial" w:eastAsia="Times New Roman" w:hAnsi="Arial" w:cs="Arial"/>
                <w:color w:val="202122"/>
                <w:lang w:eastAsia="fr-FR"/>
              </w:rPr>
            </w:pPr>
          </w:p>
        </w:tc>
        <w:tc>
          <w:tcPr>
            <w:tcW w:w="4531" w:type="dxa"/>
            <w:gridSpan w:val="2"/>
            <w:tcBorders>
              <w:top w:val="single" w:sz="4" w:space="0" w:color="auto"/>
              <w:left w:val="single" w:sz="4" w:space="0" w:color="auto"/>
              <w:bottom w:val="single" w:sz="4" w:space="0" w:color="auto"/>
              <w:right w:val="single" w:sz="4" w:space="0" w:color="auto"/>
            </w:tcBorders>
          </w:tcPr>
          <w:p w:rsidR="006D067D" w:rsidRPr="000C4B5F" w:rsidRDefault="006D067D" w:rsidP="004E449A">
            <w:pPr>
              <w:spacing w:line="240" w:lineRule="auto"/>
              <w:jc w:val="both"/>
              <w:rPr>
                <w:rFonts w:ascii="Arial" w:eastAsia="Times New Roman" w:hAnsi="Arial" w:cs="Arial"/>
                <w:color w:val="202122"/>
                <w:lang w:eastAsia="fr-FR"/>
              </w:rPr>
            </w:pPr>
            <w:r w:rsidRPr="000C4B5F">
              <w:rPr>
                <w:rFonts w:ascii="Arial" w:eastAsia="Times New Roman" w:hAnsi="Arial" w:cs="Arial"/>
                <w:color w:val="202122"/>
                <w:lang w:eastAsia="fr-FR"/>
              </w:rPr>
              <w:t>UIT-T V36 (EIA RS449)</w:t>
            </w:r>
          </w:p>
        </w:tc>
        <w:tc>
          <w:tcPr>
            <w:tcW w:w="2266" w:type="dxa"/>
            <w:vMerge/>
            <w:tcBorders>
              <w:left w:val="single" w:sz="4" w:space="0" w:color="auto"/>
              <w:bottom w:val="single" w:sz="4" w:space="0" w:color="auto"/>
              <w:right w:val="single" w:sz="4" w:space="0" w:color="auto"/>
            </w:tcBorders>
          </w:tcPr>
          <w:p w:rsidR="006D067D" w:rsidRPr="000C4B5F" w:rsidRDefault="006D067D" w:rsidP="004E449A">
            <w:pPr>
              <w:spacing w:line="240" w:lineRule="auto"/>
              <w:jc w:val="both"/>
              <w:rPr>
                <w:rFonts w:ascii="Arial" w:eastAsia="Times New Roman" w:hAnsi="Arial" w:cs="Arial"/>
                <w:color w:val="202122"/>
                <w:lang w:eastAsia="fr-FR"/>
              </w:rPr>
            </w:pPr>
          </w:p>
        </w:tc>
      </w:tr>
      <w:tr w:rsidR="0062186F" w:rsidRPr="000C4B5F" w:rsidTr="00231558">
        <w:tc>
          <w:tcPr>
            <w:tcW w:w="2265" w:type="dxa"/>
            <w:vMerge w:val="restart"/>
            <w:tcBorders>
              <w:top w:val="single" w:sz="4" w:space="0" w:color="auto"/>
              <w:left w:val="single" w:sz="4" w:space="0" w:color="auto"/>
              <w:right w:val="single" w:sz="4" w:space="0" w:color="auto"/>
            </w:tcBorders>
          </w:tcPr>
          <w:p w:rsidR="0062186F" w:rsidRPr="000C4B5F" w:rsidRDefault="0062186F" w:rsidP="004E449A">
            <w:pPr>
              <w:spacing w:line="240" w:lineRule="auto"/>
              <w:jc w:val="both"/>
              <w:rPr>
                <w:rFonts w:ascii="Arial" w:eastAsia="Times New Roman" w:hAnsi="Arial" w:cs="Arial"/>
                <w:color w:val="202122"/>
                <w:lang w:eastAsia="fr-FR"/>
              </w:rPr>
            </w:pPr>
            <w:r w:rsidRPr="000C4B5F">
              <w:rPr>
                <w:rFonts w:ascii="Arial" w:eastAsia="Times New Roman" w:hAnsi="Arial" w:cs="Arial"/>
                <w:color w:val="202122"/>
                <w:lang w:eastAsia="fr-FR"/>
              </w:rPr>
              <w:t>UIT-T V11/V10</w:t>
            </w:r>
          </w:p>
        </w:tc>
        <w:tc>
          <w:tcPr>
            <w:tcW w:w="2265" w:type="dxa"/>
            <w:tcBorders>
              <w:top w:val="single" w:sz="4" w:space="0" w:color="auto"/>
              <w:left w:val="single" w:sz="4" w:space="0" w:color="auto"/>
              <w:bottom w:val="single" w:sz="4" w:space="0" w:color="auto"/>
              <w:right w:val="single" w:sz="4" w:space="0" w:color="auto"/>
            </w:tcBorders>
          </w:tcPr>
          <w:p w:rsidR="0062186F" w:rsidRPr="000C4B5F" w:rsidRDefault="0062186F" w:rsidP="004E449A">
            <w:pPr>
              <w:spacing w:line="240" w:lineRule="auto"/>
              <w:jc w:val="both"/>
              <w:rPr>
                <w:rFonts w:ascii="Arial" w:eastAsia="Times New Roman" w:hAnsi="Arial" w:cs="Arial"/>
                <w:color w:val="202122"/>
                <w:lang w:eastAsia="fr-FR"/>
              </w:rPr>
            </w:pPr>
            <w:r w:rsidRPr="000C4B5F">
              <w:rPr>
                <w:rFonts w:ascii="Arial" w:eastAsia="Times New Roman" w:hAnsi="Arial" w:cs="Arial"/>
                <w:color w:val="202122"/>
                <w:lang w:eastAsia="fr-FR"/>
              </w:rPr>
              <w:t>ISO 2110 (DB25)</w:t>
            </w:r>
          </w:p>
        </w:tc>
        <w:tc>
          <w:tcPr>
            <w:tcW w:w="2266" w:type="dxa"/>
            <w:tcBorders>
              <w:top w:val="single" w:sz="4" w:space="0" w:color="auto"/>
              <w:left w:val="single" w:sz="4" w:space="0" w:color="auto"/>
              <w:bottom w:val="single" w:sz="4" w:space="0" w:color="auto"/>
              <w:right w:val="single" w:sz="4" w:space="0" w:color="auto"/>
            </w:tcBorders>
          </w:tcPr>
          <w:p w:rsidR="0062186F" w:rsidRPr="000C4B5F" w:rsidRDefault="0062186F" w:rsidP="004E449A">
            <w:pPr>
              <w:spacing w:line="240" w:lineRule="auto"/>
              <w:jc w:val="both"/>
              <w:rPr>
                <w:rFonts w:ascii="Arial" w:eastAsia="Times New Roman" w:hAnsi="Arial" w:cs="Arial"/>
                <w:color w:val="202122"/>
                <w:lang w:eastAsia="fr-FR"/>
              </w:rPr>
            </w:pPr>
            <w:r w:rsidRPr="000C4B5F">
              <w:rPr>
                <w:rFonts w:ascii="Arial" w:eastAsia="Times New Roman" w:hAnsi="Arial" w:cs="Arial"/>
                <w:color w:val="202122"/>
                <w:lang w:eastAsia="fr-FR"/>
              </w:rPr>
              <w:t>UIT-T V24</w:t>
            </w:r>
          </w:p>
        </w:tc>
        <w:tc>
          <w:tcPr>
            <w:tcW w:w="2266" w:type="dxa"/>
            <w:vMerge w:val="restart"/>
            <w:tcBorders>
              <w:top w:val="single" w:sz="4" w:space="0" w:color="auto"/>
              <w:left w:val="single" w:sz="4" w:space="0" w:color="auto"/>
              <w:right w:val="single" w:sz="4" w:space="0" w:color="auto"/>
            </w:tcBorders>
          </w:tcPr>
          <w:p w:rsidR="0062186F" w:rsidRPr="000C4B5F" w:rsidRDefault="0062186F" w:rsidP="004E449A">
            <w:pPr>
              <w:spacing w:line="240" w:lineRule="auto"/>
              <w:jc w:val="both"/>
              <w:rPr>
                <w:rFonts w:ascii="Arial" w:eastAsia="Times New Roman" w:hAnsi="Arial" w:cs="Arial"/>
                <w:color w:val="202122"/>
                <w:lang w:eastAsia="fr-FR"/>
              </w:rPr>
            </w:pPr>
            <w:r w:rsidRPr="000C4B5F">
              <w:rPr>
                <w:rFonts w:ascii="Arial" w:eastAsia="Times New Roman" w:hAnsi="Arial" w:cs="Arial"/>
                <w:color w:val="202122"/>
                <w:lang w:eastAsia="fr-FR"/>
              </w:rPr>
              <w:t>&lt; 2 Mbit/s</w:t>
            </w:r>
          </w:p>
        </w:tc>
      </w:tr>
      <w:tr w:rsidR="0062186F" w:rsidRPr="000C4B5F" w:rsidTr="00231558">
        <w:tc>
          <w:tcPr>
            <w:tcW w:w="2265" w:type="dxa"/>
            <w:vMerge/>
            <w:tcBorders>
              <w:left w:val="single" w:sz="4" w:space="0" w:color="auto"/>
              <w:bottom w:val="single" w:sz="4" w:space="0" w:color="auto"/>
              <w:right w:val="single" w:sz="4" w:space="0" w:color="auto"/>
            </w:tcBorders>
          </w:tcPr>
          <w:p w:rsidR="0062186F" w:rsidRPr="000C4B5F" w:rsidRDefault="0062186F" w:rsidP="004E449A">
            <w:pPr>
              <w:spacing w:line="240" w:lineRule="auto"/>
              <w:jc w:val="both"/>
              <w:rPr>
                <w:rFonts w:ascii="Arial" w:eastAsia="Times New Roman" w:hAnsi="Arial" w:cs="Arial"/>
                <w:color w:val="202122"/>
                <w:lang w:eastAsia="fr-FR"/>
              </w:rPr>
            </w:pPr>
          </w:p>
        </w:tc>
        <w:tc>
          <w:tcPr>
            <w:tcW w:w="4531" w:type="dxa"/>
            <w:gridSpan w:val="2"/>
            <w:tcBorders>
              <w:top w:val="single" w:sz="4" w:space="0" w:color="auto"/>
              <w:left w:val="single" w:sz="4" w:space="0" w:color="auto"/>
              <w:bottom w:val="single" w:sz="4" w:space="0" w:color="auto"/>
              <w:right w:val="single" w:sz="4" w:space="0" w:color="auto"/>
            </w:tcBorders>
          </w:tcPr>
          <w:p w:rsidR="0062186F" w:rsidRPr="000C4B5F" w:rsidRDefault="0062186F" w:rsidP="004E449A">
            <w:pPr>
              <w:spacing w:line="240" w:lineRule="auto"/>
              <w:jc w:val="both"/>
              <w:rPr>
                <w:rFonts w:ascii="Arial" w:eastAsia="Times New Roman" w:hAnsi="Arial" w:cs="Arial"/>
                <w:color w:val="202122"/>
                <w:lang w:eastAsia="fr-FR"/>
              </w:rPr>
            </w:pPr>
            <w:r w:rsidRPr="000C4B5F">
              <w:rPr>
                <w:rFonts w:ascii="Arial" w:eastAsia="Times New Roman" w:hAnsi="Arial" w:cs="Arial"/>
                <w:color w:val="202122"/>
                <w:lang w:eastAsia="fr-FR"/>
              </w:rPr>
              <w:t>EIA RS530</w:t>
            </w:r>
          </w:p>
        </w:tc>
        <w:tc>
          <w:tcPr>
            <w:tcW w:w="2266" w:type="dxa"/>
            <w:vMerge/>
            <w:tcBorders>
              <w:left w:val="single" w:sz="4" w:space="0" w:color="auto"/>
              <w:bottom w:val="single" w:sz="4" w:space="0" w:color="auto"/>
              <w:right w:val="single" w:sz="4" w:space="0" w:color="auto"/>
            </w:tcBorders>
          </w:tcPr>
          <w:p w:rsidR="0062186F" w:rsidRPr="000C4B5F" w:rsidRDefault="0062186F" w:rsidP="004E449A">
            <w:pPr>
              <w:spacing w:line="240" w:lineRule="auto"/>
              <w:jc w:val="both"/>
              <w:rPr>
                <w:rFonts w:ascii="Arial" w:eastAsia="Times New Roman" w:hAnsi="Arial" w:cs="Arial"/>
                <w:color w:val="202122"/>
                <w:lang w:eastAsia="fr-FR"/>
              </w:rPr>
            </w:pPr>
          </w:p>
        </w:tc>
      </w:tr>
      <w:tr w:rsidR="0062186F" w:rsidRPr="000C4B5F" w:rsidTr="001B2C5F">
        <w:tc>
          <w:tcPr>
            <w:tcW w:w="2265" w:type="dxa"/>
            <w:tcBorders>
              <w:top w:val="single" w:sz="4" w:space="0" w:color="auto"/>
              <w:left w:val="single" w:sz="4" w:space="0" w:color="auto"/>
              <w:bottom w:val="single" w:sz="4" w:space="0" w:color="auto"/>
              <w:right w:val="single" w:sz="4" w:space="0" w:color="auto"/>
            </w:tcBorders>
          </w:tcPr>
          <w:p w:rsidR="0062186F" w:rsidRPr="000C4B5F" w:rsidRDefault="0062186F" w:rsidP="004E449A">
            <w:pPr>
              <w:spacing w:line="240" w:lineRule="auto"/>
              <w:jc w:val="both"/>
              <w:rPr>
                <w:rFonts w:ascii="Arial" w:eastAsia="Times New Roman" w:hAnsi="Arial" w:cs="Arial"/>
                <w:color w:val="202122"/>
                <w:lang w:eastAsia="fr-FR"/>
              </w:rPr>
            </w:pPr>
            <w:r w:rsidRPr="000C4B5F">
              <w:rPr>
                <w:rFonts w:ascii="Arial" w:eastAsia="Times New Roman" w:hAnsi="Arial" w:cs="Arial"/>
                <w:color w:val="202122"/>
                <w:lang w:eastAsia="fr-FR"/>
              </w:rPr>
              <w:t>UIT-T V11/V10</w:t>
            </w:r>
          </w:p>
        </w:tc>
        <w:tc>
          <w:tcPr>
            <w:tcW w:w="2265" w:type="dxa"/>
            <w:tcBorders>
              <w:top w:val="single" w:sz="4" w:space="0" w:color="auto"/>
              <w:left w:val="single" w:sz="4" w:space="0" w:color="auto"/>
              <w:bottom w:val="single" w:sz="4" w:space="0" w:color="auto"/>
              <w:right w:val="single" w:sz="4" w:space="0" w:color="auto"/>
            </w:tcBorders>
          </w:tcPr>
          <w:p w:rsidR="0062186F" w:rsidRPr="000C4B5F" w:rsidRDefault="0062186F" w:rsidP="004E449A">
            <w:pPr>
              <w:spacing w:line="240" w:lineRule="auto"/>
              <w:jc w:val="both"/>
              <w:rPr>
                <w:rFonts w:ascii="Arial" w:eastAsia="Times New Roman" w:hAnsi="Arial" w:cs="Arial"/>
                <w:color w:val="202122"/>
                <w:lang w:eastAsia="fr-FR"/>
              </w:rPr>
            </w:pPr>
            <w:r w:rsidRPr="000C4B5F">
              <w:rPr>
                <w:rFonts w:ascii="Arial" w:eastAsia="Times New Roman" w:hAnsi="Arial" w:cs="Arial"/>
                <w:color w:val="202122"/>
                <w:lang w:eastAsia="fr-FR"/>
              </w:rPr>
              <w:t>ISO4903 (DB15)</w:t>
            </w:r>
          </w:p>
        </w:tc>
        <w:tc>
          <w:tcPr>
            <w:tcW w:w="2266" w:type="dxa"/>
            <w:tcBorders>
              <w:top w:val="single" w:sz="4" w:space="0" w:color="auto"/>
              <w:left w:val="single" w:sz="4" w:space="0" w:color="auto"/>
              <w:bottom w:val="single" w:sz="4" w:space="0" w:color="auto"/>
              <w:right w:val="single" w:sz="4" w:space="0" w:color="auto"/>
            </w:tcBorders>
          </w:tcPr>
          <w:p w:rsidR="0062186F" w:rsidRPr="000C4B5F" w:rsidRDefault="0062186F" w:rsidP="004E449A">
            <w:pPr>
              <w:spacing w:line="240" w:lineRule="auto"/>
              <w:jc w:val="both"/>
              <w:rPr>
                <w:rFonts w:ascii="Arial" w:eastAsia="Times New Roman" w:hAnsi="Arial" w:cs="Arial"/>
                <w:color w:val="202122"/>
                <w:lang w:eastAsia="fr-FR"/>
              </w:rPr>
            </w:pPr>
            <w:r w:rsidRPr="000C4B5F">
              <w:rPr>
                <w:rFonts w:ascii="Arial" w:eastAsia="Times New Roman" w:hAnsi="Arial" w:cs="Arial"/>
                <w:color w:val="202122"/>
                <w:lang w:eastAsia="fr-FR"/>
              </w:rPr>
              <w:t>UIT-T X21</w:t>
            </w:r>
          </w:p>
        </w:tc>
        <w:tc>
          <w:tcPr>
            <w:tcW w:w="2266" w:type="dxa"/>
            <w:tcBorders>
              <w:top w:val="single" w:sz="4" w:space="0" w:color="auto"/>
              <w:left w:val="single" w:sz="4" w:space="0" w:color="auto"/>
              <w:bottom w:val="single" w:sz="4" w:space="0" w:color="auto"/>
              <w:right w:val="single" w:sz="4" w:space="0" w:color="auto"/>
            </w:tcBorders>
          </w:tcPr>
          <w:p w:rsidR="0062186F" w:rsidRPr="000C4B5F" w:rsidRDefault="0062186F" w:rsidP="004E449A">
            <w:pPr>
              <w:spacing w:line="240" w:lineRule="auto"/>
              <w:jc w:val="both"/>
              <w:rPr>
                <w:rFonts w:ascii="Arial" w:eastAsia="Times New Roman" w:hAnsi="Arial" w:cs="Arial"/>
                <w:color w:val="202122"/>
                <w:lang w:eastAsia="fr-FR"/>
              </w:rPr>
            </w:pPr>
            <w:r w:rsidRPr="000C4B5F">
              <w:rPr>
                <w:rFonts w:ascii="Arial" w:eastAsia="Times New Roman" w:hAnsi="Arial" w:cs="Arial"/>
                <w:color w:val="202122"/>
                <w:lang w:eastAsia="fr-FR"/>
              </w:rPr>
              <w:t>&lt; 2 Mbit/s</w:t>
            </w:r>
          </w:p>
        </w:tc>
      </w:tr>
      <w:tr w:rsidR="0062186F" w:rsidRPr="000C4B5F" w:rsidTr="008120DE">
        <w:tc>
          <w:tcPr>
            <w:tcW w:w="6796" w:type="dxa"/>
            <w:gridSpan w:val="3"/>
            <w:tcBorders>
              <w:top w:val="single" w:sz="4" w:space="0" w:color="auto"/>
              <w:left w:val="single" w:sz="4" w:space="0" w:color="auto"/>
              <w:bottom w:val="single" w:sz="4" w:space="0" w:color="auto"/>
              <w:right w:val="single" w:sz="4" w:space="0" w:color="auto"/>
            </w:tcBorders>
          </w:tcPr>
          <w:p w:rsidR="0062186F" w:rsidRPr="000C4B5F" w:rsidRDefault="0062186F" w:rsidP="004E449A">
            <w:pPr>
              <w:spacing w:line="240" w:lineRule="auto"/>
              <w:jc w:val="both"/>
              <w:rPr>
                <w:rFonts w:ascii="Arial" w:eastAsia="Times New Roman" w:hAnsi="Arial" w:cs="Arial"/>
                <w:color w:val="202122"/>
                <w:lang w:eastAsia="fr-FR"/>
              </w:rPr>
            </w:pPr>
            <w:r w:rsidRPr="000C4B5F">
              <w:rPr>
                <w:rFonts w:ascii="Arial" w:eastAsia="Times New Roman" w:hAnsi="Arial" w:cs="Arial"/>
                <w:color w:val="202122"/>
                <w:lang w:eastAsia="fr-FR"/>
              </w:rPr>
              <w:t>1430/1431 (interface « S/T »</w:t>
            </w:r>
          </w:p>
        </w:tc>
        <w:tc>
          <w:tcPr>
            <w:tcW w:w="2266" w:type="dxa"/>
            <w:tcBorders>
              <w:top w:val="single" w:sz="4" w:space="0" w:color="auto"/>
              <w:left w:val="single" w:sz="4" w:space="0" w:color="auto"/>
              <w:bottom w:val="single" w:sz="4" w:space="0" w:color="auto"/>
              <w:right w:val="single" w:sz="4" w:space="0" w:color="auto"/>
            </w:tcBorders>
          </w:tcPr>
          <w:p w:rsidR="0062186F" w:rsidRPr="000C4B5F" w:rsidRDefault="0062186F" w:rsidP="004E449A">
            <w:pPr>
              <w:spacing w:line="240" w:lineRule="auto"/>
              <w:jc w:val="both"/>
              <w:rPr>
                <w:rFonts w:ascii="Arial" w:eastAsia="Times New Roman" w:hAnsi="Arial" w:cs="Arial"/>
                <w:color w:val="202122"/>
                <w:lang w:eastAsia="fr-FR"/>
              </w:rPr>
            </w:pPr>
            <w:r w:rsidRPr="000C4B5F">
              <w:rPr>
                <w:rFonts w:ascii="Arial" w:eastAsia="Times New Roman" w:hAnsi="Arial" w:cs="Arial"/>
                <w:color w:val="202122"/>
                <w:lang w:eastAsia="fr-FR"/>
              </w:rPr>
              <w:t>2 Mbit/s (RNIS)</w:t>
            </w:r>
          </w:p>
        </w:tc>
      </w:tr>
    </w:tbl>
    <w:p w:rsidR="00211F6A" w:rsidRDefault="00211F6A" w:rsidP="004E449A">
      <w:pPr>
        <w:ind w:left="2124" w:firstLine="708"/>
        <w:jc w:val="both"/>
        <w:rPr>
          <w:rFonts w:ascii="Arial" w:eastAsia="Times New Roman" w:hAnsi="Arial" w:cs="Arial"/>
          <w:color w:val="202122"/>
          <w:lang w:eastAsia="fr-FR"/>
        </w:rPr>
      </w:pPr>
    </w:p>
    <w:p w:rsidR="001B2C5F" w:rsidRPr="000C4B5F" w:rsidRDefault="00414FB7" w:rsidP="004E449A">
      <w:pPr>
        <w:ind w:left="2124" w:firstLine="708"/>
        <w:jc w:val="both"/>
        <w:rPr>
          <w:rFonts w:ascii="Arial" w:eastAsia="Times New Roman" w:hAnsi="Arial" w:cs="Arial"/>
          <w:color w:val="202122"/>
          <w:lang w:eastAsia="fr-FR"/>
        </w:rPr>
      </w:pPr>
      <w:r w:rsidRPr="000C4B5F">
        <w:rPr>
          <w:rFonts w:ascii="Arial" w:eastAsia="Times New Roman" w:hAnsi="Arial" w:cs="Arial"/>
          <w:color w:val="202122"/>
          <w:lang w:eastAsia="fr-FR"/>
        </w:rPr>
        <w:t xml:space="preserve">Tableau </w:t>
      </w:r>
      <w:r w:rsidR="00211F6A">
        <w:rPr>
          <w:rFonts w:ascii="Arial" w:eastAsia="Times New Roman" w:hAnsi="Arial" w:cs="Arial"/>
          <w:color w:val="202122"/>
          <w:lang w:eastAsia="fr-FR"/>
        </w:rPr>
        <w:t>2.</w:t>
      </w:r>
      <w:r w:rsidRPr="000C4B5F">
        <w:rPr>
          <w:rFonts w:ascii="Arial" w:eastAsia="Times New Roman" w:hAnsi="Arial" w:cs="Arial"/>
          <w:color w:val="202122"/>
          <w:lang w:eastAsia="fr-FR"/>
        </w:rPr>
        <w:t>1</w:t>
      </w:r>
    </w:p>
    <w:p w:rsidR="00414FB7" w:rsidRPr="000C4B5F" w:rsidRDefault="00414FB7" w:rsidP="004E449A">
      <w:pPr>
        <w:jc w:val="both"/>
        <w:rPr>
          <w:rFonts w:ascii="Arial" w:eastAsia="Times New Roman" w:hAnsi="Arial" w:cs="Arial"/>
          <w:color w:val="202122"/>
          <w:lang w:eastAsia="fr-FR"/>
        </w:rPr>
      </w:pPr>
      <w:r w:rsidRPr="000C4B5F">
        <w:rPr>
          <w:rFonts w:ascii="Arial" w:eastAsia="Times New Roman" w:hAnsi="Arial" w:cs="Arial"/>
          <w:color w:val="202122"/>
          <w:lang w:eastAsia="fr-FR"/>
        </w:rPr>
        <w:t>Les principales normes électriques sont définies ci-après les normes fonctionnelles V24 et X21 font l’objet des paragraphes 4 et 5 suivants. Les normes concernant les caractéristiques des transmissions entre deux ETCD dans le chapitre consacré à la transmission du signal numérique en bande de base.</w:t>
      </w:r>
    </w:p>
    <w:p w:rsidR="00301EB4" w:rsidRPr="000A0C4F" w:rsidRDefault="00301EB4" w:rsidP="00F33014">
      <w:pPr>
        <w:pStyle w:val="Paragraphedeliste"/>
        <w:numPr>
          <w:ilvl w:val="0"/>
          <w:numId w:val="8"/>
        </w:numPr>
        <w:jc w:val="both"/>
        <w:rPr>
          <w:rFonts w:ascii="Arial" w:eastAsia="Times New Roman" w:hAnsi="Arial" w:cs="Arial"/>
          <w:b/>
          <w:bCs/>
          <w:color w:val="202122"/>
          <w:sz w:val="24"/>
          <w:szCs w:val="24"/>
          <w:lang w:eastAsia="fr-FR"/>
        </w:rPr>
      </w:pPr>
      <w:r w:rsidRPr="000A0C4F">
        <w:rPr>
          <w:rFonts w:ascii="Arial" w:eastAsia="Times New Roman" w:hAnsi="Arial" w:cs="Arial"/>
          <w:b/>
          <w:bCs/>
          <w:color w:val="202122"/>
          <w:sz w:val="24"/>
          <w:szCs w:val="24"/>
          <w:lang w:eastAsia="fr-FR"/>
        </w:rPr>
        <w:t>Norme V28</w:t>
      </w:r>
    </w:p>
    <w:p w:rsidR="00301EB4" w:rsidRPr="000C4B5F" w:rsidRDefault="00301EB4" w:rsidP="004E449A">
      <w:pPr>
        <w:jc w:val="both"/>
        <w:rPr>
          <w:rFonts w:ascii="Arial" w:eastAsia="Times New Roman" w:hAnsi="Arial" w:cs="Arial"/>
          <w:color w:val="202122"/>
          <w:lang w:eastAsia="fr-FR"/>
        </w:rPr>
      </w:pPr>
      <w:r w:rsidRPr="000C4B5F">
        <w:rPr>
          <w:rFonts w:ascii="Arial" w:eastAsia="Times New Roman" w:hAnsi="Arial" w:cs="Arial"/>
          <w:color w:val="202122"/>
          <w:lang w:eastAsia="fr-FR"/>
        </w:rPr>
        <w:t xml:space="preserve">La norme V28 détermine les caractéristiques électriques des signaux pour des liaison s telles que celle d’un port série de PC avec un modem boitier externe. Le support de transmission </w:t>
      </w:r>
      <w:r w:rsidRPr="000C4B5F">
        <w:rPr>
          <w:rFonts w:ascii="Arial" w:eastAsia="Times New Roman" w:hAnsi="Arial" w:cs="Arial"/>
          <w:color w:val="202122"/>
          <w:lang w:eastAsia="fr-FR"/>
        </w:rPr>
        <w:lastRenderedPageBreak/>
        <w:t>pour chaque signal est réalisé sur un fil référencé par rapport à une masse commune, ce qui réduit le nombre de fils mais limite les débits et les distances entre les systèmes.</w:t>
      </w:r>
    </w:p>
    <w:p w:rsidR="00301EB4" w:rsidRPr="000C4B5F" w:rsidRDefault="002B0C13" w:rsidP="004E449A">
      <w:pPr>
        <w:jc w:val="both"/>
        <w:rPr>
          <w:rFonts w:ascii="Arial" w:eastAsia="Times New Roman" w:hAnsi="Arial" w:cs="Arial"/>
          <w:color w:val="202122"/>
          <w:lang w:eastAsia="fr-FR"/>
        </w:rPr>
      </w:pPr>
      <w:r w:rsidRPr="000C4B5F">
        <w:rPr>
          <w:rFonts w:ascii="Arial" w:eastAsia="Times New Roman" w:hAnsi="Arial" w:cs="Arial"/>
          <w:color w:val="202122"/>
          <w:lang w:eastAsia="fr-FR"/>
        </w:rPr>
        <w:t>Les valeurs des tensions correspondant aux circuits logiques en entrée ou en sortie des équipements</w:t>
      </w:r>
      <w:r w:rsidR="00910C1B" w:rsidRPr="000C4B5F">
        <w:rPr>
          <w:rFonts w:ascii="Arial" w:eastAsia="Times New Roman" w:hAnsi="Arial" w:cs="Arial"/>
          <w:color w:val="202122"/>
          <w:lang w:eastAsia="fr-FR"/>
        </w:rPr>
        <w:t xml:space="preserve"> (circuits en technologie TTL ou CMOS) sont adaptées pour la liaison conformément à l’avis V28. Ainsi à un niveau logique « 1 », correspond à une tension de +5V avant adaptation et une tension comprise entre – 3V et -25V sur le câble., de même à un niveau logique « 0 », correspond une tension de l’ordre de 0V avant adaptation et une tension comprise entre +3V et +25V</w:t>
      </w:r>
      <w:r w:rsidR="009955B4" w:rsidRPr="000C4B5F">
        <w:rPr>
          <w:rFonts w:ascii="Arial" w:eastAsia="Times New Roman" w:hAnsi="Arial" w:cs="Arial"/>
          <w:color w:val="202122"/>
          <w:lang w:eastAsia="fr-FR"/>
        </w:rPr>
        <w:t xml:space="preserve"> sur le câble.</w:t>
      </w:r>
    </w:p>
    <w:p w:rsidR="000737F7" w:rsidRPr="00901931" w:rsidRDefault="00A97E04" w:rsidP="00F33014">
      <w:pPr>
        <w:pStyle w:val="Paragraphedeliste"/>
        <w:numPr>
          <w:ilvl w:val="0"/>
          <w:numId w:val="8"/>
        </w:numPr>
        <w:jc w:val="both"/>
        <w:rPr>
          <w:b/>
          <w:bCs/>
          <w:sz w:val="24"/>
          <w:szCs w:val="24"/>
        </w:rPr>
      </w:pPr>
      <w:r w:rsidRPr="00901931">
        <w:rPr>
          <w:b/>
          <w:bCs/>
          <w:sz w:val="24"/>
          <w:szCs w:val="24"/>
        </w:rPr>
        <w:t>Liaison V24 (RS232 et RS 449)</w:t>
      </w:r>
    </w:p>
    <w:p w:rsidR="00A97E04" w:rsidRPr="00901931" w:rsidRDefault="00A97E04" w:rsidP="00F33014">
      <w:pPr>
        <w:pStyle w:val="Paragraphedeliste"/>
        <w:numPr>
          <w:ilvl w:val="1"/>
          <w:numId w:val="8"/>
        </w:numPr>
        <w:jc w:val="both"/>
        <w:rPr>
          <w:b/>
          <w:bCs/>
        </w:rPr>
      </w:pPr>
      <w:r w:rsidRPr="00901931">
        <w:rPr>
          <w:b/>
          <w:bCs/>
        </w:rPr>
        <w:t>Définition</w:t>
      </w:r>
      <w:r w:rsidR="000A0C4F">
        <w:rPr>
          <w:b/>
          <w:bCs/>
        </w:rPr>
        <w:t>s</w:t>
      </w:r>
    </w:p>
    <w:p w:rsidR="00A97E04" w:rsidRPr="000C4B5F" w:rsidRDefault="00A97E04" w:rsidP="004E449A">
      <w:pPr>
        <w:jc w:val="both"/>
      </w:pPr>
      <w:r w:rsidRPr="000C4B5F">
        <w:t xml:space="preserve">Conçue à l’origine pour la connexion d’équipements avec des réseaux de télécommunication de type analogique (transmission d’un signal numérique sur des liaisons analogiques), la norme V24 définit les caractéristiques fonctionnelles de la jonction entre un ETTD et un ETCD pour un connecteur 25 broches (DB25, figure </w:t>
      </w:r>
      <w:r w:rsidR="00A23923">
        <w:t>2.</w:t>
      </w:r>
      <w:r w:rsidRPr="000C4B5F">
        <w:t xml:space="preserve">2). </w:t>
      </w:r>
    </w:p>
    <w:p w:rsidR="00A97E04" w:rsidRPr="000C4B5F" w:rsidRDefault="00A97E04" w:rsidP="004E449A">
      <w:pPr>
        <w:jc w:val="both"/>
      </w:pPr>
      <w:r w:rsidRPr="000C4B5F">
        <w:t>A chaque broche correspond un circuit, dit circuit de jonction, son numéro d’identification ou numéro de circuit</w:t>
      </w:r>
      <w:r w:rsidR="00D77E4C" w:rsidRPr="000C4B5F">
        <w:t>, et sa fonction spécifique.</w:t>
      </w:r>
    </w:p>
    <w:p w:rsidR="00D77E4C" w:rsidRPr="000C4B5F" w:rsidRDefault="00D77E4C" w:rsidP="004E449A">
      <w:pPr>
        <w:jc w:val="both"/>
      </w:pPr>
      <w:r w:rsidRPr="000C4B5F">
        <w:t>La norme V24 est équivalente à la norme RS232. La norme RS449 (V36), très proche, définit les interfaces fonctionnelles et mécaniques pour des transmissions généralement synchrones jusqu’à 2 Mbit/s, elle est associée à la norme V11 sur un connecteur 37 broches (DB37).</w:t>
      </w:r>
    </w:p>
    <w:p w:rsidR="00D77E4C" w:rsidRPr="000C4B5F" w:rsidRDefault="00D77E4C" w:rsidP="004E449A">
      <w:pPr>
        <w:jc w:val="both"/>
      </w:pPr>
      <w:r w:rsidRPr="000C4B5F">
        <w:t>Le tableau</w:t>
      </w:r>
      <w:r w:rsidR="00791B7A">
        <w:t xml:space="preserve"> 2.</w:t>
      </w:r>
      <w:r w:rsidRPr="000C4B5F">
        <w:t>2 ci-dessous présente les principaux circuits de jonction et pour chaque circuit les identification V24 ainsi que leurs équivalences RS232. On trouve également les abréviations françaises et anglo-saxonnes décrivant la fonction réalisée ainsi que le ty</w:t>
      </w:r>
      <w:r w:rsidR="00ED56C7" w:rsidRPr="000C4B5F">
        <w:t>p</w:t>
      </w:r>
      <w:r w:rsidRPr="000C4B5F">
        <w:t>e de signal transmis sur le circuit (donnée, contrôle, synchronisation ou maintenance) et son sens de transfert.</w:t>
      </w:r>
    </w:p>
    <w:p w:rsidR="00D77E4C" w:rsidRDefault="00791B7A" w:rsidP="00A97E04">
      <w:r w:rsidRPr="00791B7A">
        <w:object w:dxaOrig="4320" w:dyaOrig="4320">
          <v:shape id="_x0000_i1026" type="#_x0000_t75" style="width:3in;height:3in" o:ole="">
            <v:imagedata r:id="rId10" o:title=""/>
          </v:shape>
          <o:OLEObject Type="Embed" ProgID="FoxitReader.Document" ShapeID="_x0000_i1026" DrawAspect="Content" ObjectID="_1791622908" r:id="rId11"/>
        </w:object>
      </w:r>
    </w:p>
    <w:p w:rsidR="00D77E4C" w:rsidRPr="000C4B5F" w:rsidRDefault="00791B7A" w:rsidP="00A97E04">
      <w:r>
        <w:t>Tableau 2.2</w:t>
      </w:r>
    </w:p>
    <w:p w:rsidR="004A2C84" w:rsidRPr="000C4B5F" w:rsidRDefault="004A2C84" w:rsidP="00A97E04">
      <w:r w:rsidRPr="000C4B5F">
        <w:t>Le circuit 101 correspond à la masse mécanique et doit être relié au châssis de l’appareil.</w:t>
      </w:r>
    </w:p>
    <w:p w:rsidR="004A2C84" w:rsidRPr="000C4B5F" w:rsidRDefault="004A2C84" w:rsidP="00A97E04">
      <w:r w:rsidRPr="000C4B5F">
        <w:t>Le circuit 102 correspond au potentiel commun de référence pour tous les signaux de la liaison.</w:t>
      </w:r>
    </w:p>
    <w:p w:rsidR="004A2C84" w:rsidRPr="000C4B5F" w:rsidRDefault="004A2C84" w:rsidP="00A97E04">
      <w:r w:rsidRPr="000C4B5F">
        <w:t>Les signaux de synchronisation (circuits 113, 114 et 115) sont utilisés en transmission synchrone, ils fournissent une base de temps permettant de synchroniser l’ETTD et l’ETCD.</w:t>
      </w:r>
    </w:p>
    <w:p w:rsidR="007A33A7" w:rsidRPr="000C4B5F" w:rsidRDefault="007A33A7" w:rsidP="00A97E04">
      <w:r w:rsidRPr="000C4B5F">
        <w:lastRenderedPageBreak/>
        <w:t>La norme V24 définit une voie secondaire (circuits 118 à 122) dont les signaux sont identiques à ceux de la voie principale. Cette voie secondaire peut être utilisée pour des transferts semi-duplex avec voie de retour asymétrique (débit différent sur les deux voies).</w:t>
      </w:r>
    </w:p>
    <w:p w:rsidR="007A33A7" w:rsidRPr="000C4B5F" w:rsidRDefault="007A33A7" w:rsidP="00A97E04">
      <w:r w:rsidRPr="000C4B5F">
        <w:t xml:space="preserve"> Les circuits 140, 141 et 142 sont utilisés pour la maintenance de la liaison.</w:t>
      </w:r>
    </w:p>
    <w:p w:rsidR="007A33A7" w:rsidRPr="000C4B5F" w:rsidRDefault="007A33A7" w:rsidP="00A97E04">
      <w:r w:rsidRPr="000C4B5F">
        <w:t>Les circuits de la série 200 (201 à 213 non représentés ici sont réservés aux procédures d’appel automatique en mode parallèle et sont décrits par la recommandation V25. Les procédures d’appel automatique en mode série utilisent les circuits de la série 100 (circuits 103, 104, 106, 107, 108,2 et 125) et sont définis dans la recommandation V25 bis</w:t>
      </w:r>
      <w:r w:rsidR="00DF53B0" w:rsidRPr="000C4B5F">
        <w:t>.</w:t>
      </w:r>
    </w:p>
    <w:p w:rsidR="00E05FFD" w:rsidRPr="000C4B5F" w:rsidRDefault="00E05FFD" w:rsidP="00A97E04">
      <w:r w:rsidRPr="000C4B5F">
        <w:t>Le rôle des différents signaux de contrôle (circuits 105 à 109) est décrit au paragraphe suivant.</w:t>
      </w:r>
    </w:p>
    <w:p w:rsidR="00E05FFD" w:rsidRPr="000C4B5F" w:rsidRDefault="00E05FFD" w:rsidP="00A97E04">
      <w:r w:rsidRPr="000C4B5F">
        <w:t>Certains systèmes utilisent des connecteurs 9 broches (DB9) non normalisés, regroupant les signaux (voir figure et tableau ci-dessous.</w:t>
      </w:r>
    </w:p>
    <w:p w:rsidR="00791B7A" w:rsidRDefault="00C949BF" w:rsidP="00A97E04">
      <w:r w:rsidRPr="00C949BF">
        <w:object w:dxaOrig="4320" w:dyaOrig="4320">
          <v:shape id="_x0000_i1027" type="#_x0000_t75" style="width:3in;height:3in" o:ole="">
            <v:imagedata r:id="rId12" o:title=""/>
          </v:shape>
          <o:OLEObject Type="Embed" ProgID="FoxitReader.Document" ShapeID="_x0000_i1027" DrawAspect="Content" ObjectID="_1791622909" r:id="rId13"/>
        </w:object>
      </w:r>
    </w:p>
    <w:p w:rsidR="00791B7A" w:rsidRPr="000C4B5F" w:rsidRDefault="00C949BF" w:rsidP="00A97E04">
      <w:r>
        <w:t>F</w:t>
      </w:r>
      <w:r w:rsidR="00791B7A">
        <w:t>igure 2.2</w:t>
      </w:r>
    </w:p>
    <w:p w:rsidR="00E05FFD" w:rsidRPr="000C4B5F" w:rsidRDefault="00E05FFD" w:rsidP="00A97E04"/>
    <w:tbl>
      <w:tblPr>
        <w:tblStyle w:val="Grilledutableau"/>
        <w:tblW w:w="0" w:type="auto"/>
        <w:tblInd w:w="0" w:type="dxa"/>
        <w:tblLook w:val="04A0" w:firstRow="1" w:lastRow="0" w:firstColumn="1" w:lastColumn="0" w:noHBand="0" w:noVBand="1"/>
      </w:tblPr>
      <w:tblGrid>
        <w:gridCol w:w="1980"/>
        <w:gridCol w:w="2410"/>
        <w:gridCol w:w="1842"/>
      </w:tblGrid>
      <w:tr w:rsidR="00B52CEE" w:rsidTr="00B52CEE">
        <w:tc>
          <w:tcPr>
            <w:tcW w:w="1980" w:type="dxa"/>
          </w:tcPr>
          <w:p w:rsidR="00B52CEE" w:rsidRDefault="00B52CEE" w:rsidP="00901931">
            <w:pPr>
              <w:jc w:val="center"/>
            </w:pPr>
            <w:r>
              <w:t>N° de Broche DB9</w:t>
            </w:r>
          </w:p>
        </w:tc>
        <w:tc>
          <w:tcPr>
            <w:tcW w:w="2410" w:type="dxa"/>
          </w:tcPr>
          <w:p w:rsidR="00B52CEE" w:rsidRDefault="00B52CEE" w:rsidP="00901931">
            <w:pPr>
              <w:jc w:val="center"/>
            </w:pPr>
            <w:r>
              <w:t>N° de Broche DB25</w:t>
            </w:r>
          </w:p>
        </w:tc>
        <w:tc>
          <w:tcPr>
            <w:tcW w:w="1842" w:type="dxa"/>
          </w:tcPr>
          <w:p w:rsidR="00B52CEE" w:rsidRDefault="00B52CEE" w:rsidP="00901931">
            <w:pPr>
              <w:jc w:val="center"/>
            </w:pPr>
            <w:r>
              <w:t>Signal</w:t>
            </w:r>
          </w:p>
        </w:tc>
      </w:tr>
      <w:tr w:rsidR="00B52CEE" w:rsidTr="00B52CEE">
        <w:tc>
          <w:tcPr>
            <w:tcW w:w="1980" w:type="dxa"/>
          </w:tcPr>
          <w:p w:rsidR="00B52CEE" w:rsidRDefault="00B52CEE" w:rsidP="00901931">
            <w:pPr>
              <w:jc w:val="center"/>
            </w:pPr>
            <w:r>
              <w:t>3</w:t>
            </w:r>
          </w:p>
        </w:tc>
        <w:tc>
          <w:tcPr>
            <w:tcW w:w="2410" w:type="dxa"/>
          </w:tcPr>
          <w:p w:rsidR="00B52CEE" w:rsidRDefault="00B52CEE" w:rsidP="00901931">
            <w:pPr>
              <w:jc w:val="center"/>
            </w:pPr>
            <w:r>
              <w:t>2</w:t>
            </w:r>
          </w:p>
        </w:tc>
        <w:tc>
          <w:tcPr>
            <w:tcW w:w="1842" w:type="dxa"/>
          </w:tcPr>
          <w:p w:rsidR="00B52CEE" w:rsidRDefault="00B52CEE" w:rsidP="00901931">
            <w:pPr>
              <w:jc w:val="center"/>
            </w:pPr>
            <w:r>
              <w:t>TD</w:t>
            </w:r>
          </w:p>
        </w:tc>
      </w:tr>
      <w:tr w:rsidR="00B52CEE" w:rsidTr="00B52CEE">
        <w:tc>
          <w:tcPr>
            <w:tcW w:w="1980" w:type="dxa"/>
          </w:tcPr>
          <w:p w:rsidR="00B52CEE" w:rsidRDefault="00B52CEE" w:rsidP="00901931">
            <w:pPr>
              <w:jc w:val="center"/>
            </w:pPr>
            <w:r>
              <w:t>2</w:t>
            </w:r>
          </w:p>
        </w:tc>
        <w:tc>
          <w:tcPr>
            <w:tcW w:w="2410" w:type="dxa"/>
          </w:tcPr>
          <w:p w:rsidR="00B52CEE" w:rsidRDefault="00B52CEE" w:rsidP="00901931">
            <w:pPr>
              <w:jc w:val="center"/>
            </w:pPr>
            <w:r>
              <w:t>3</w:t>
            </w:r>
          </w:p>
        </w:tc>
        <w:tc>
          <w:tcPr>
            <w:tcW w:w="1842" w:type="dxa"/>
          </w:tcPr>
          <w:p w:rsidR="00B52CEE" w:rsidRDefault="00B52CEE" w:rsidP="00901931">
            <w:pPr>
              <w:jc w:val="center"/>
            </w:pPr>
            <w:r>
              <w:t>RD</w:t>
            </w:r>
          </w:p>
        </w:tc>
      </w:tr>
      <w:tr w:rsidR="00B52CEE" w:rsidTr="00B52CEE">
        <w:tc>
          <w:tcPr>
            <w:tcW w:w="1980" w:type="dxa"/>
          </w:tcPr>
          <w:p w:rsidR="00B52CEE" w:rsidRDefault="00B52CEE" w:rsidP="00901931">
            <w:pPr>
              <w:jc w:val="center"/>
            </w:pPr>
            <w:r>
              <w:t>7</w:t>
            </w:r>
          </w:p>
        </w:tc>
        <w:tc>
          <w:tcPr>
            <w:tcW w:w="2410" w:type="dxa"/>
          </w:tcPr>
          <w:p w:rsidR="00B52CEE" w:rsidRDefault="00B52CEE" w:rsidP="00901931">
            <w:pPr>
              <w:jc w:val="center"/>
            </w:pPr>
            <w:r>
              <w:t>4</w:t>
            </w:r>
          </w:p>
        </w:tc>
        <w:tc>
          <w:tcPr>
            <w:tcW w:w="1842" w:type="dxa"/>
          </w:tcPr>
          <w:p w:rsidR="00B52CEE" w:rsidRDefault="00B52CEE" w:rsidP="00901931">
            <w:pPr>
              <w:jc w:val="center"/>
            </w:pPr>
            <w:r>
              <w:t>RTS</w:t>
            </w:r>
          </w:p>
        </w:tc>
      </w:tr>
      <w:tr w:rsidR="00B52CEE" w:rsidTr="00B52CEE">
        <w:tc>
          <w:tcPr>
            <w:tcW w:w="1980" w:type="dxa"/>
          </w:tcPr>
          <w:p w:rsidR="00B52CEE" w:rsidRDefault="00B52CEE" w:rsidP="00901931">
            <w:pPr>
              <w:jc w:val="center"/>
            </w:pPr>
            <w:r>
              <w:t>8</w:t>
            </w:r>
          </w:p>
        </w:tc>
        <w:tc>
          <w:tcPr>
            <w:tcW w:w="2410" w:type="dxa"/>
          </w:tcPr>
          <w:p w:rsidR="00B52CEE" w:rsidRDefault="00B52CEE" w:rsidP="00901931">
            <w:pPr>
              <w:jc w:val="center"/>
            </w:pPr>
            <w:r>
              <w:t>5</w:t>
            </w:r>
          </w:p>
        </w:tc>
        <w:tc>
          <w:tcPr>
            <w:tcW w:w="1842" w:type="dxa"/>
          </w:tcPr>
          <w:p w:rsidR="00B52CEE" w:rsidRDefault="00B52CEE" w:rsidP="00901931">
            <w:pPr>
              <w:jc w:val="center"/>
            </w:pPr>
            <w:r>
              <w:t>CTS</w:t>
            </w:r>
          </w:p>
        </w:tc>
      </w:tr>
      <w:tr w:rsidR="00B52CEE" w:rsidTr="00B52CEE">
        <w:tc>
          <w:tcPr>
            <w:tcW w:w="1980" w:type="dxa"/>
          </w:tcPr>
          <w:p w:rsidR="00B52CEE" w:rsidRDefault="00B52CEE" w:rsidP="00901931">
            <w:pPr>
              <w:jc w:val="center"/>
            </w:pPr>
            <w:r>
              <w:t>6</w:t>
            </w:r>
          </w:p>
        </w:tc>
        <w:tc>
          <w:tcPr>
            <w:tcW w:w="2410" w:type="dxa"/>
          </w:tcPr>
          <w:p w:rsidR="00B52CEE" w:rsidRDefault="00B52CEE" w:rsidP="00901931">
            <w:pPr>
              <w:jc w:val="center"/>
            </w:pPr>
            <w:r>
              <w:t>6</w:t>
            </w:r>
          </w:p>
        </w:tc>
        <w:tc>
          <w:tcPr>
            <w:tcW w:w="1842" w:type="dxa"/>
          </w:tcPr>
          <w:p w:rsidR="00B52CEE" w:rsidRDefault="00B52CEE" w:rsidP="00901931">
            <w:pPr>
              <w:jc w:val="center"/>
            </w:pPr>
            <w:r>
              <w:t>DSR</w:t>
            </w:r>
          </w:p>
        </w:tc>
      </w:tr>
      <w:tr w:rsidR="00B52CEE" w:rsidTr="00B52CEE">
        <w:tc>
          <w:tcPr>
            <w:tcW w:w="1980" w:type="dxa"/>
          </w:tcPr>
          <w:p w:rsidR="00B52CEE" w:rsidRDefault="00B52CEE" w:rsidP="00901931">
            <w:pPr>
              <w:jc w:val="center"/>
            </w:pPr>
            <w:r>
              <w:t>5</w:t>
            </w:r>
          </w:p>
        </w:tc>
        <w:tc>
          <w:tcPr>
            <w:tcW w:w="2410" w:type="dxa"/>
          </w:tcPr>
          <w:p w:rsidR="00B52CEE" w:rsidRDefault="00B52CEE" w:rsidP="00901931">
            <w:pPr>
              <w:jc w:val="center"/>
            </w:pPr>
            <w:r>
              <w:t>7</w:t>
            </w:r>
          </w:p>
        </w:tc>
        <w:tc>
          <w:tcPr>
            <w:tcW w:w="1842" w:type="dxa"/>
          </w:tcPr>
          <w:p w:rsidR="00B52CEE" w:rsidRDefault="00B52CEE" w:rsidP="00901931">
            <w:pPr>
              <w:jc w:val="center"/>
            </w:pPr>
            <w:r>
              <w:t>Ground</w:t>
            </w:r>
          </w:p>
        </w:tc>
      </w:tr>
      <w:tr w:rsidR="00B52CEE" w:rsidTr="00B52CEE">
        <w:tc>
          <w:tcPr>
            <w:tcW w:w="1980" w:type="dxa"/>
          </w:tcPr>
          <w:p w:rsidR="00B52CEE" w:rsidRDefault="00B52CEE" w:rsidP="00901931">
            <w:pPr>
              <w:jc w:val="center"/>
            </w:pPr>
            <w:r>
              <w:t>1</w:t>
            </w:r>
          </w:p>
        </w:tc>
        <w:tc>
          <w:tcPr>
            <w:tcW w:w="2410" w:type="dxa"/>
          </w:tcPr>
          <w:p w:rsidR="00B52CEE" w:rsidRDefault="00B52CEE" w:rsidP="00901931">
            <w:pPr>
              <w:jc w:val="center"/>
            </w:pPr>
            <w:r>
              <w:t>8</w:t>
            </w:r>
          </w:p>
        </w:tc>
        <w:tc>
          <w:tcPr>
            <w:tcW w:w="1842" w:type="dxa"/>
          </w:tcPr>
          <w:p w:rsidR="00B52CEE" w:rsidRDefault="00B52CEE" w:rsidP="00901931">
            <w:pPr>
              <w:jc w:val="center"/>
            </w:pPr>
            <w:r>
              <w:t>DCD</w:t>
            </w:r>
          </w:p>
        </w:tc>
      </w:tr>
      <w:tr w:rsidR="00B52CEE" w:rsidTr="00B52CEE">
        <w:tc>
          <w:tcPr>
            <w:tcW w:w="1980" w:type="dxa"/>
          </w:tcPr>
          <w:p w:rsidR="00B52CEE" w:rsidRDefault="00B52CEE" w:rsidP="00901931">
            <w:pPr>
              <w:jc w:val="center"/>
            </w:pPr>
            <w:r>
              <w:t>4</w:t>
            </w:r>
          </w:p>
        </w:tc>
        <w:tc>
          <w:tcPr>
            <w:tcW w:w="2410" w:type="dxa"/>
          </w:tcPr>
          <w:p w:rsidR="00B52CEE" w:rsidRDefault="00B52CEE" w:rsidP="00901931">
            <w:pPr>
              <w:jc w:val="center"/>
            </w:pPr>
            <w:r>
              <w:t>20</w:t>
            </w:r>
          </w:p>
        </w:tc>
        <w:tc>
          <w:tcPr>
            <w:tcW w:w="1842" w:type="dxa"/>
          </w:tcPr>
          <w:p w:rsidR="00B52CEE" w:rsidRDefault="00B52CEE" w:rsidP="00901931">
            <w:pPr>
              <w:jc w:val="center"/>
            </w:pPr>
            <w:r>
              <w:t>DTR</w:t>
            </w:r>
          </w:p>
        </w:tc>
      </w:tr>
      <w:tr w:rsidR="00B52CEE" w:rsidTr="00B52CEE">
        <w:tc>
          <w:tcPr>
            <w:tcW w:w="1980" w:type="dxa"/>
          </w:tcPr>
          <w:p w:rsidR="00B52CEE" w:rsidRDefault="00B52CEE" w:rsidP="00901931">
            <w:pPr>
              <w:jc w:val="center"/>
            </w:pPr>
            <w:r>
              <w:t>9</w:t>
            </w:r>
          </w:p>
        </w:tc>
        <w:tc>
          <w:tcPr>
            <w:tcW w:w="2410" w:type="dxa"/>
          </w:tcPr>
          <w:p w:rsidR="00B52CEE" w:rsidRDefault="00B52CEE" w:rsidP="00901931">
            <w:pPr>
              <w:jc w:val="center"/>
            </w:pPr>
            <w:r>
              <w:t>22</w:t>
            </w:r>
          </w:p>
        </w:tc>
        <w:tc>
          <w:tcPr>
            <w:tcW w:w="1842" w:type="dxa"/>
          </w:tcPr>
          <w:p w:rsidR="00B52CEE" w:rsidRDefault="00B52CEE" w:rsidP="00901931">
            <w:pPr>
              <w:jc w:val="center"/>
            </w:pPr>
            <w:r>
              <w:t>RI</w:t>
            </w:r>
          </w:p>
        </w:tc>
      </w:tr>
    </w:tbl>
    <w:p w:rsidR="00E05FFD" w:rsidRPr="000C4B5F" w:rsidRDefault="00E05FFD" w:rsidP="00A97E04"/>
    <w:p w:rsidR="00901931" w:rsidRDefault="00E05FFD" w:rsidP="00901931">
      <w:pPr>
        <w:ind w:firstLine="708"/>
      </w:pPr>
      <w:r w:rsidRPr="000C4B5F">
        <w:t>Tableau de correspondance DB25-DB9</w:t>
      </w:r>
    </w:p>
    <w:p w:rsidR="00E05FFD" w:rsidRDefault="00E05FFD" w:rsidP="00901931">
      <w:r w:rsidRPr="000C4B5F">
        <w:t xml:space="preserve"> </w:t>
      </w:r>
    </w:p>
    <w:p w:rsidR="00EC3A4D" w:rsidRPr="000C4B5F" w:rsidRDefault="00EC3A4D" w:rsidP="00901931"/>
    <w:p w:rsidR="00FF7DD4" w:rsidRPr="00286A52" w:rsidRDefault="00FF7DD4" w:rsidP="00F33014">
      <w:pPr>
        <w:pStyle w:val="Paragraphedeliste"/>
        <w:numPr>
          <w:ilvl w:val="1"/>
          <w:numId w:val="8"/>
        </w:numPr>
        <w:rPr>
          <w:b/>
          <w:bCs/>
        </w:rPr>
      </w:pPr>
      <w:r w:rsidRPr="00286A52">
        <w:rPr>
          <w:b/>
          <w:bCs/>
        </w:rPr>
        <w:lastRenderedPageBreak/>
        <w:t>Etablissement d’une liaison V24</w:t>
      </w:r>
    </w:p>
    <w:p w:rsidR="00FF7DD4" w:rsidRPr="000C4B5F" w:rsidRDefault="00FF7DD4" w:rsidP="00FF7DD4">
      <w:r w:rsidRPr="000C4B5F">
        <w:t xml:space="preserve">Les principaux circuits participant à l’établissement </w:t>
      </w:r>
      <w:r w:rsidR="009F3BA8" w:rsidRPr="000C4B5F">
        <w:t>d’une liaison V24 ou RS232 sont les suivants (figure 2</w:t>
      </w:r>
      <w:r w:rsidR="00286A52">
        <w:t>.3</w:t>
      </w:r>
      <w:r w:rsidR="009F3BA8" w:rsidRPr="000C4B5F">
        <w:t>) :</w:t>
      </w:r>
    </w:p>
    <w:p w:rsidR="009F3BA8" w:rsidRPr="000C4B5F" w:rsidRDefault="009F3BA8" w:rsidP="004C3D0D">
      <w:pPr>
        <w:pStyle w:val="Paragraphedeliste"/>
        <w:numPr>
          <w:ilvl w:val="0"/>
          <w:numId w:val="5"/>
        </w:numPr>
      </w:pPr>
      <w:r w:rsidRPr="000C4B5F">
        <w:t>Circuit de connexion de ligne 108.2 et 107 correspondant aux signaux de contrôle DTR et DSR ;</w:t>
      </w:r>
    </w:p>
    <w:p w:rsidR="009F3BA8" w:rsidRPr="000C4B5F" w:rsidRDefault="009F3BA8" w:rsidP="004C3D0D">
      <w:pPr>
        <w:pStyle w:val="Paragraphedeliste"/>
        <w:numPr>
          <w:ilvl w:val="0"/>
          <w:numId w:val="5"/>
        </w:numPr>
      </w:pPr>
      <w:r w:rsidRPr="000C4B5F">
        <w:t>Circuit de validation de l’émission 105 et 106 correspondant aux signaux de contrôle RTS et CTS ;</w:t>
      </w:r>
    </w:p>
    <w:p w:rsidR="009F3BA8" w:rsidRPr="000C4B5F" w:rsidRDefault="009F3BA8" w:rsidP="004C3D0D">
      <w:pPr>
        <w:pStyle w:val="Paragraphedeliste"/>
        <w:numPr>
          <w:ilvl w:val="0"/>
          <w:numId w:val="5"/>
        </w:numPr>
      </w:pPr>
      <w:r w:rsidRPr="000C4B5F">
        <w:t>Circuit de détection de porteuse 109 correspondant au signal DCD et permettant de valider la réponse ;</w:t>
      </w:r>
    </w:p>
    <w:p w:rsidR="009F3BA8" w:rsidRPr="000C4B5F" w:rsidRDefault="009F3BA8" w:rsidP="004C3D0D">
      <w:pPr>
        <w:pStyle w:val="Paragraphedeliste"/>
        <w:numPr>
          <w:ilvl w:val="0"/>
          <w:numId w:val="5"/>
        </w:numPr>
      </w:pPr>
      <w:r w:rsidRPr="000C4B5F">
        <w:t>Circuit indicateur d’appel 125 correspondant au signal RI et signalant un appel reçu sur la ligne par l’ETCD.</w:t>
      </w:r>
    </w:p>
    <w:p w:rsidR="009F3BA8" w:rsidRDefault="009F3BA8" w:rsidP="009F3BA8">
      <w:r w:rsidRPr="000C4B5F">
        <w:t xml:space="preserve">Les circuits RTS 105 et </w:t>
      </w:r>
      <w:r w:rsidR="004C3D0D" w:rsidRPr="000C4B5F">
        <w:t>106 CTS d’une part, 108 ?2 DTR et 107 DSR d’autre part peuvent faire l’objet d’un protocole spécifique lors d’une liaison hors norme entre ETTD</w:t>
      </w:r>
      <w:r w:rsidR="00750E62" w:rsidRPr="000C4B5F">
        <w:t>.</w:t>
      </w:r>
    </w:p>
    <w:p w:rsidR="00CB3299" w:rsidRPr="000C4B5F" w:rsidRDefault="00CB3299" w:rsidP="009F3BA8"/>
    <w:p w:rsidR="00750E62" w:rsidRPr="000C4B5F" w:rsidRDefault="00CB3299" w:rsidP="009F3BA8">
      <w:r>
        <w:object w:dxaOrig="1513" w:dyaOrig="986">
          <v:shape id="_x0000_i1028" type="#_x0000_t75" style="width:75.75pt;height:49.1pt" o:ole="">
            <v:imagedata r:id="rId14" o:title=""/>
          </v:shape>
          <o:OLEObject Type="Embed" ProgID="FoxitReader.Document" ShapeID="_x0000_i1028" DrawAspect="Icon" ObjectID="_1791622910" r:id="rId15"/>
        </w:object>
      </w:r>
    </w:p>
    <w:p w:rsidR="00750E62" w:rsidRPr="000C4B5F" w:rsidRDefault="00750E62" w:rsidP="009F3BA8">
      <w:r w:rsidRPr="000C4B5F">
        <w:t>Figure 2</w:t>
      </w:r>
      <w:r w:rsidR="00286A52">
        <w:t>.3</w:t>
      </w:r>
      <w:r w:rsidRPr="000C4B5F">
        <w:t> : Principaux circuits d’établissement de la liaison V24</w:t>
      </w:r>
    </w:p>
    <w:p w:rsidR="00750E62" w:rsidRPr="000C4B5F" w:rsidRDefault="00750E62" w:rsidP="009F3BA8">
      <w:r w:rsidRPr="000C4B5F">
        <w:t>Les circuits 105 à 108,2 sont considérés comme fermés, donc activés, lorsque les signaux correspondants sont au niveau logique « 0 » soit des tensions positives sur le câble</w:t>
      </w:r>
      <w:r w:rsidR="00476F00" w:rsidRPr="000C4B5F">
        <w:t>.</w:t>
      </w:r>
    </w:p>
    <w:p w:rsidR="00476F00" w:rsidRPr="000C4B5F" w:rsidRDefault="005744E9" w:rsidP="009F3BA8">
      <w:r>
        <w:object w:dxaOrig="1513" w:dyaOrig="986">
          <v:shape id="_x0000_i1029" type="#_x0000_t75" style="width:75.75pt;height:49.1pt" o:ole="">
            <v:imagedata r:id="rId16" o:title=""/>
          </v:shape>
          <o:OLEObject Type="Embed" ProgID="FoxitReader.Document" ShapeID="_x0000_i1029" DrawAspect="Icon" ObjectID="_1791622911" r:id="rId17"/>
        </w:object>
      </w:r>
    </w:p>
    <w:p w:rsidR="00476F00" w:rsidRPr="000C4B5F" w:rsidRDefault="00476F00" w:rsidP="009F3BA8">
      <w:r w:rsidRPr="000C4B5F">
        <w:t>Figure</w:t>
      </w:r>
      <w:r w:rsidR="005744E9">
        <w:t xml:space="preserve"> 2.</w:t>
      </w:r>
      <w:r w:rsidR="00941B80">
        <w:t>3</w:t>
      </w:r>
      <w:r w:rsidRPr="000C4B5F">
        <w:t> : Etablissement d’une liaison V24 entre PC et modem</w:t>
      </w:r>
    </w:p>
    <w:p w:rsidR="00476F00" w:rsidRPr="000C4B5F" w:rsidRDefault="00476F00" w:rsidP="009F3BA8">
      <w:bookmarkStart w:id="0" w:name="_GoBack"/>
      <w:bookmarkEnd w:id="0"/>
      <w:r w:rsidRPr="000C4B5F">
        <w:t xml:space="preserve">La figure </w:t>
      </w:r>
      <w:r w:rsidR="00941B80">
        <w:t>2.</w:t>
      </w:r>
      <w:r w:rsidR="00E11BA0">
        <w:t>3</w:t>
      </w:r>
      <w:r w:rsidRPr="000C4B5F">
        <w:t xml:space="preserve"> décrit les </w:t>
      </w:r>
      <w:r w:rsidR="00941B80">
        <w:t>3</w:t>
      </w:r>
      <w:r w:rsidRPr="000C4B5F">
        <w:t xml:space="preserve"> phases d’établissement d’initiation et de transfert de données en mode semi-duplex entre 2 systèmes distants.</w:t>
      </w:r>
    </w:p>
    <w:p w:rsidR="00476F00" w:rsidRPr="000C4B5F" w:rsidRDefault="00476F00" w:rsidP="00E02C5E">
      <w:pPr>
        <w:pStyle w:val="Paragraphedeliste"/>
        <w:numPr>
          <w:ilvl w:val="0"/>
          <w:numId w:val="6"/>
        </w:numPr>
      </w:pPr>
      <w:r w:rsidRPr="000C4B5F">
        <w:t>Le système B émetteur numérote vers le système A. Si la ligne est libre, l’appel abouti et le circuit de détection du modem A relaie la demande suivant la procédure de réponse automatique décrite par l’avis V25. Le système A réalise alors la connexion de ligne par échange des signaux DTR et DSR. Le système B est averti de la connexion du modem A par réception d’une tonalité d’une fréquence de 2100Hz et réalise à son tour la connexion de ligne. C</w:t>
      </w:r>
      <w:r w:rsidR="00E02C5E" w:rsidRPr="000C4B5F">
        <w:t>’</w:t>
      </w:r>
      <w:r w:rsidRPr="000C4B5F">
        <w:t>est la phase d’établissement</w:t>
      </w:r>
      <w:r w:rsidR="00E02C5E" w:rsidRPr="000C4B5F">
        <w:t>.</w:t>
      </w:r>
    </w:p>
    <w:p w:rsidR="00E02C5E" w:rsidRPr="000C4B5F" w:rsidRDefault="00E02C5E" w:rsidP="00E02C5E">
      <w:pPr>
        <w:pStyle w:val="Paragraphedeliste"/>
        <w:numPr>
          <w:ilvl w:val="0"/>
          <w:numId w:val="6"/>
        </w:numPr>
      </w:pPr>
      <w:r w:rsidRPr="000C4B5F">
        <w:t>L’ordinateur B demande une émission de donnée accepté e par le modem B et transmise au système distant A par l’intermédiaire ‘une porteuse sur la ligne suivant la modulation utilisée (signal d’une fréquence à 1650 Hz pour un modem V21 par exemple). Après détection de la porteuse, le modem A est initialisé pour une transmission suivant le débit requis. C’est la phase d’initialisation de transfert de données.</w:t>
      </w:r>
    </w:p>
    <w:p w:rsidR="00E02C5E" w:rsidRPr="000C4B5F" w:rsidRDefault="00E02C5E" w:rsidP="00E02C5E">
      <w:pPr>
        <w:pStyle w:val="Paragraphedeliste"/>
        <w:numPr>
          <w:ilvl w:val="0"/>
          <w:numId w:val="6"/>
        </w:numPr>
      </w:pPr>
      <w:r w:rsidRPr="000C4B5F">
        <w:t>La transmission des données est réalisée. Phase de transfert des données.</w:t>
      </w:r>
    </w:p>
    <w:p w:rsidR="00E02C5E" w:rsidRPr="000C4B5F" w:rsidRDefault="00E02C5E" w:rsidP="009F3BA8">
      <w:r w:rsidRPr="000C4B5F">
        <w:lastRenderedPageBreak/>
        <w:t>Les séquences d’initialisation de l’émetteur et du récepteur sont transposables pour une transmission en duplex intégral, seules les fréquences des porteuses changent suivant le sens de transmission.</w:t>
      </w:r>
    </w:p>
    <w:p w:rsidR="00E02C5E" w:rsidRPr="000C4B5F" w:rsidRDefault="0099494E" w:rsidP="00F33014">
      <w:pPr>
        <w:pStyle w:val="Paragraphedeliste"/>
        <w:numPr>
          <w:ilvl w:val="1"/>
          <w:numId w:val="8"/>
        </w:numPr>
      </w:pPr>
      <w:r w:rsidRPr="000C4B5F">
        <w:t>Câblages V24 ou RS232</w:t>
      </w:r>
    </w:p>
    <w:p w:rsidR="0099494E" w:rsidRPr="000C4B5F" w:rsidRDefault="0099494E" w:rsidP="0099494E">
      <w:r w:rsidRPr="000C4B5F">
        <w:t xml:space="preserve">Les figures </w:t>
      </w:r>
      <w:r w:rsidR="00E11BA0">
        <w:t>2.</w:t>
      </w:r>
      <w:r w:rsidRPr="000C4B5F">
        <w:t xml:space="preserve">4, </w:t>
      </w:r>
      <w:r w:rsidR="00E11BA0">
        <w:t>2.</w:t>
      </w:r>
      <w:r w:rsidRPr="000C4B5F">
        <w:t xml:space="preserve">5 et </w:t>
      </w:r>
      <w:r w:rsidR="00E11BA0">
        <w:t>2.</w:t>
      </w:r>
      <w:r w:rsidRPr="000C4B5F">
        <w:t>6 ci-après représentent les câblages rencontrés dans une liaison V24.</w:t>
      </w:r>
    </w:p>
    <w:p w:rsidR="0099494E" w:rsidRPr="000C4B5F" w:rsidRDefault="0099494E" w:rsidP="0099494E">
      <w:r w:rsidRPr="000C4B5F">
        <w:t xml:space="preserve">Le seul câblage normalisé est celui de la figure </w:t>
      </w:r>
      <w:r w:rsidR="00E11BA0">
        <w:t>2.</w:t>
      </w:r>
      <w:r w:rsidRPr="000C4B5F">
        <w:t>4 entre un ETTD et un ETCD, dans ce cas le connecteur sur l’ETTD doit être du genre mâle, celui sur l’ETCD de genre femelle, ce qui impose un câble avec deux connecteurs de genres différents.</w:t>
      </w:r>
    </w:p>
    <w:p w:rsidR="00F535B3" w:rsidRDefault="0099494E" w:rsidP="0099494E">
      <w:r w:rsidRPr="000C4B5F">
        <w:t>La liaison peut être utilisée hors norme pour relier en duplex intégral deux ETTD. Le câble mis en œuvre est dans ce cas de type null modem dans la mesure où la liaison ne passe pas par un ETCD. Les signaux de contrôle</w:t>
      </w:r>
      <w:r w:rsidR="00F535B3" w:rsidRPr="000C4B5F">
        <w:t xml:space="preserve"> (DTR/DSR ou RTS/CTS) peuvent alors servir pour la gestion de flux entre les deux ordinateurs.</w:t>
      </w:r>
    </w:p>
    <w:p w:rsidR="00F535B3" w:rsidRDefault="002D6E5E" w:rsidP="0099494E">
      <w:r>
        <w:object w:dxaOrig="1513" w:dyaOrig="986">
          <v:shape id="_x0000_i1030" type="#_x0000_t75" style="width:75.75pt;height:49.1pt" o:ole="">
            <v:imagedata r:id="rId18" o:title=""/>
          </v:shape>
          <o:OLEObject Type="Embed" ProgID="FoxitReader.Document" ShapeID="_x0000_i1030" DrawAspect="Icon" ObjectID="_1791622912" r:id="rId19"/>
        </w:object>
      </w:r>
    </w:p>
    <w:p w:rsidR="00F535B3" w:rsidRPr="000C4B5F" w:rsidRDefault="00F535B3" w:rsidP="0099494E">
      <w:r w:rsidRPr="000C4B5F">
        <w:t xml:space="preserve">Figure </w:t>
      </w:r>
      <w:r w:rsidR="00E11BA0">
        <w:t>2.</w:t>
      </w:r>
      <w:r w:rsidRPr="000C4B5F">
        <w:t>4 : Liaison normalisée ETTD-ETCD</w:t>
      </w:r>
    </w:p>
    <w:p w:rsidR="002D6E5E" w:rsidRPr="000C4B5F" w:rsidRDefault="002D6E5E" w:rsidP="0099494E">
      <w:r>
        <w:object w:dxaOrig="1513" w:dyaOrig="986">
          <v:shape id="_x0000_i1031" type="#_x0000_t75" style="width:75.75pt;height:49.1pt" o:ole="">
            <v:imagedata r:id="rId20" o:title=""/>
          </v:shape>
          <o:OLEObject Type="Embed" ProgID="FoxitReader.Document" ShapeID="_x0000_i1031" DrawAspect="Icon" ObjectID="_1791622913" r:id="rId21"/>
        </w:object>
      </w:r>
    </w:p>
    <w:p w:rsidR="00F535B3" w:rsidRPr="000C4B5F" w:rsidRDefault="00F535B3" w:rsidP="0099494E">
      <w:r w:rsidRPr="000C4B5F">
        <w:t>Figure</w:t>
      </w:r>
      <w:r w:rsidR="002D6E5E">
        <w:t xml:space="preserve"> 2.</w:t>
      </w:r>
      <w:r w:rsidRPr="000C4B5F">
        <w:t xml:space="preserve"> 5 : Liaison 3 fils ETTD-ETTD (hors norme UIT-T)</w:t>
      </w:r>
    </w:p>
    <w:p w:rsidR="00F535B3" w:rsidRPr="000C4B5F" w:rsidRDefault="00EC2216" w:rsidP="0099494E">
      <w:r w:rsidRPr="00EC2216">
        <w:object w:dxaOrig="4320" w:dyaOrig="4320">
          <v:shape id="_x0000_i1032" type="#_x0000_t75" style="width:3in;height:3in" o:ole="">
            <v:imagedata r:id="rId22" o:title=""/>
          </v:shape>
          <o:OLEObject Type="Embed" ProgID="FoxitReader.Document" ShapeID="_x0000_i1032" DrawAspect="Content" ObjectID="_1791622914" r:id="rId23"/>
        </w:object>
      </w:r>
    </w:p>
    <w:p w:rsidR="00F535B3" w:rsidRPr="000C4B5F" w:rsidRDefault="00F535B3" w:rsidP="0099494E">
      <w:r w:rsidRPr="000C4B5F">
        <w:t xml:space="preserve">Figure </w:t>
      </w:r>
      <w:r w:rsidR="008E179E">
        <w:t>2.</w:t>
      </w:r>
      <w:r w:rsidRPr="000C4B5F">
        <w:t>6 : Liaison ETTD-ETTD type null modem (hors norme UIT-T).</w:t>
      </w:r>
    </w:p>
    <w:p w:rsidR="00F535B3" w:rsidRPr="003A3FCA" w:rsidRDefault="00F535B3" w:rsidP="00F33014">
      <w:pPr>
        <w:pStyle w:val="Paragraphedeliste"/>
        <w:numPr>
          <w:ilvl w:val="0"/>
          <w:numId w:val="8"/>
        </w:numPr>
        <w:rPr>
          <w:b/>
          <w:bCs/>
          <w:sz w:val="24"/>
          <w:szCs w:val="24"/>
        </w:rPr>
      </w:pPr>
      <w:r w:rsidRPr="003A3FCA">
        <w:rPr>
          <w:b/>
          <w:bCs/>
          <w:sz w:val="24"/>
          <w:szCs w:val="24"/>
        </w:rPr>
        <w:t>Liaison X21</w:t>
      </w:r>
    </w:p>
    <w:p w:rsidR="00984E7C" w:rsidRPr="003A3FCA" w:rsidRDefault="00F535B3" w:rsidP="00F33014">
      <w:pPr>
        <w:pStyle w:val="Paragraphedeliste"/>
        <w:numPr>
          <w:ilvl w:val="1"/>
          <w:numId w:val="8"/>
        </w:numPr>
        <w:rPr>
          <w:b/>
          <w:bCs/>
        </w:rPr>
      </w:pPr>
      <w:r w:rsidRPr="003A3FCA">
        <w:rPr>
          <w:b/>
          <w:bCs/>
        </w:rPr>
        <w:t>Définitions</w:t>
      </w:r>
    </w:p>
    <w:p w:rsidR="00A63023" w:rsidRPr="000C4B5F" w:rsidRDefault="00984E7C" w:rsidP="00984E7C">
      <w:r w:rsidRPr="000C4B5F">
        <w:t>La recommandation UIT-T X21 définit les caractéristiques fonctionnelles de la jonction entre un ETTD et un ETCD pour la connexion d’équipements</w:t>
      </w:r>
      <w:r w:rsidR="00A63023" w:rsidRPr="000C4B5F">
        <w:t xml:space="preserve"> synchrones à un réseau de type numérique (RNIS, ATM, Réseaux locaux). L’interface X21 permet des débits plus importants que l’interface V24</w:t>
      </w:r>
      <w:r w:rsidRPr="000C4B5F">
        <w:t xml:space="preserve"> </w:t>
      </w:r>
      <w:r w:rsidR="00A63023" w:rsidRPr="000C4B5F">
        <w:t xml:space="preserve">(couramment </w:t>
      </w:r>
      <w:r w:rsidR="00A63023" w:rsidRPr="000C4B5F">
        <w:lastRenderedPageBreak/>
        <w:t>64 Kbit/s), des temps d’établissement plus courts et utilise un nombre limité de circuits. L’adaptation des équipement pourvus d’interfaces V24 aux réseaux numériques synchrones est par ailleurs définie par les procédures de l’avis X21 bis.</w:t>
      </w:r>
    </w:p>
    <w:p w:rsidR="00A63023" w:rsidRDefault="00A63023" w:rsidP="00984E7C">
      <w:r w:rsidRPr="000C4B5F">
        <w:t xml:space="preserve">La figue </w:t>
      </w:r>
      <w:r w:rsidR="008C734D">
        <w:t>2.</w:t>
      </w:r>
      <w:r w:rsidRPr="000C4B5F">
        <w:t>7 ci-dessous présente les différents circuits de la jonction X21 ainsi que les numéros de broches correspondant au connecteur 15 broches défini par la norme ISO 4903.</w:t>
      </w:r>
    </w:p>
    <w:p w:rsidR="00A63023" w:rsidRDefault="00785804" w:rsidP="00984E7C">
      <w:r>
        <w:object w:dxaOrig="1513" w:dyaOrig="986">
          <v:shape id="_x0000_i1033" type="#_x0000_t75" style="width:75.75pt;height:49.1pt" o:ole="">
            <v:imagedata r:id="rId24" o:title=""/>
          </v:shape>
          <o:OLEObject Type="Embed" ProgID="FoxitReader.Document" ShapeID="_x0000_i1033" DrawAspect="Icon" ObjectID="_1791622915" r:id="rId25"/>
        </w:object>
      </w:r>
    </w:p>
    <w:p w:rsidR="00A63023" w:rsidRPr="000C4B5F" w:rsidRDefault="00A32364" w:rsidP="00984E7C">
      <w:r w:rsidRPr="000C4B5F">
        <w:t xml:space="preserve">Figure </w:t>
      </w:r>
      <w:r w:rsidR="00D338C6">
        <w:t>2.</w:t>
      </w:r>
      <w:r w:rsidRPr="000C4B5F">
        <w:t>7 : Circuits X21</w:t>
      </w:r>
    </w:p>
    <w:p w:rsidR="00D462B7" w:rsidRPr="000C4B5F" w:rsidRDefault="00934A7B" w:rsidP="00984E7C">
      <w:r w:rsidRPr="000C4B5F">
        <w:t>Les circuits d’horloge S et B fournis par l’ETCD permettent de synchroniser l’ETTD au niveau bit et au niveau caractère. Une période d’horloge B correspond à la durée de transmission d’un caractère. Le contrôle de la liaison se fait à l’aide des signaux de commande C et I et l’échange de données sur T et R.</w:t>
      </w:r>
      <w:r w:rsidR="00A14A7A">
        <w:t xml:space="preserve"> </w:t>
      </w:r>
      <w:r w:rsidR="00D462B7" w:rsidRPr="000C4B5F">
        <w:t>Suivant les niveaux logiques présents, l’interface ETTD-ETCD se trouve dans un état défini (prêt, non prêt, demande d’appel …)</w:t>
      </w:r>
      <w:r w:rsidR="00526A67" w:rsidRPr="000C4B5F">
        <w:t>. A chaque état correspond un niveau logique fixe pour les signaux de contrôle C et I à l’émission des séquences de « 0 » et de « 1 » ou des caractères codés en ASCII pour les signaux de données T et R.</w:t>
      </w:r>
    </w:p>
    <w:p w:rsidR="00526A67" w:rsidRPr="000C4B5F" w:rsidRDefault="00526A67" w:rsidP="00984E7C">
      <w:r w:rsidRPr="000C4B5F">
        <w:t>Les différents états sont regroupés en 3 phases :</w:t>
      </w:r>
    </w:p>
    <w:p w:rsidR="00526A67" w:rsidRPr="000C4B5F" w:rsidRDefault="00526A67" w:rsidP="00526A67">
      <w:pPr>
        <w:pStyle w:val="Paragraphedeliste"/>
        <w:numPr>
          <w:ilvl w:val="0"/>
          <w:numId w:val="7"/>
        </w:numPr>
      </w:pPr>
      <w:r w:rsidRPr="000C4B5F">
        <w:t>Phase de repos ;</w:t>
      </w:r>
    </w:p>
    <w:p w:rsidR="00526A67" w:rsidRPr="000C4B5F" w:rsidRDefault="00526A67" w:rsidP="00526A67">
      <w:pPr>
        <w:pStyle w:val="Paragraphedeliste"/>
        <w:numPr>
          <w:ilvl w:val="0"/>
          <w:numId w:val="7"/>
        </w:numPr>
      </w:pPr>
      <w:r w:rsidRPr="000C4B5F">
        <w:t>Phase de contrôle d’appel ;</w:t>
      </w:r>
    </w:p>
    <w:p w:rsidR="00526A67" w:rsidRPr="000C4B5F" w:rsidRDefault="00526A67" w:rsidP="00526A67">
      <w:pPr>
        <w:pStyle w:val="Paragraphedeliste"/>
        <w:numPr>
          <w:ilvl w:val="0"/>
          <w:numId w:val="7"/>
        </w:numPr>
      </w:pPr>
      <w:r w:rsidRPr="000C4B5F">
        <w:t>Phase de transfert de données.</w:t>
      </w:r>
    </w:p>
    <w:p w:rsidR="00526A67" w:rsidRPr="000C4B5F" w:rsidRDefault="00526A67" w:rsidP="00984E7C">
      <w:r w:rsidRPr="000C4B5F">
        <w:t>Les transitions d’états correspondant aux séquences dans les 3 phases sont définies par un diagramme d’états faisant partie de l’avis X21.</w:t>
      </w:r>
    </w:p>
    <w:p w:rsidR="00526A67" w:rsidRPr="00785804" w:rsidRDefault="00526A67" w:rsidP="00F33014">
      <w:pPr>
        <w:pStyle w:val="Paragraphedeliste"/>
        <w:numPr>
          <w:ilvl w:val="1"/>
          <w:numId w:val="8"/>
        </w:numPr>
        <w:rPr>
          <w:b/>
          <w:bCs/>
        </w:rPr>
      </w:pPr>
      <w:r w:rsidRPr="00785804">
        <w:rPr>
          <w:b/>
          <w:bCs/>
        </w:rPr>
        <w:t>Etablissement d’une liaison X21</w:t>
      </w:r>
    </w:p>
    <w:p w:rsidR="00526A67" w:rsidRDefault="00526A67" w:rsidP="00526A67">
      <w:r w:rsidRPr="000C4B5F">
        <w:t xml:space="preserve">L’établissement d’une liaison X21 au point de jonction (figure </w:t>
      </w:r>
      <w:r w:rsidR="00786914">
        <w:t>2.</w:t>
      </w:r>
      <w:r w:rsidRPr="000C4B5F">
        <w:t>8) est essentiellement décrit par l’évolution des signaux T, C, R, I</w:t>
      </w:r>
      <w:r w:rsidR="00A105FA" w:rsidRPr="000C4B5F">
        <w:t>.</w:t>
      </w:r>
    </w:p>
    <w:p w:rsidR="00A105FA" w:rsidRPr="000C4B5F" w:rsidRDefault="007109AA" w:rsidP="00526A67">
      <w:r w:rsidRPr="007109AA">
        <w:object w:dxaOrig="4320" w:dyaOrig="4320">
          <v:shape id="_x0000_i1034" type="#_x0000_t75" style="width:3in;height:3in" o:ole="">
            <v:imagedata r:id="rId26" o:title=""/>
          </v:shape>
          <o:OLEObject Type="Embed" ProgID="FoxitReader.Document" ShapeID="_x0000_i1034" DrawAspect="Content" ObjectID="_1791622916" r:id="rId27"/>
        </w:object>
      </w:r>
    </w:p>
    <w:p w:rsidR="00A105FA" w:rsidRPr="000C4B5F" w:rsidRDefault="00A105FA" w:rsidP="00526A67">
      <w:r w:rsidRPr="000C4B5F">
        <w:t xml:space="preserve">Figure </w:t>
      </w:r>
      <w:r w:rsidR="00785804">
        <w:t>2.</w:t>
      </w:r>
      <w:r w:rsidRPr="000C4B5F">
        <w:t>8 : Liaison X21</w:t>
      </w:r>
    </w:p>
    <w:p w:rsidR="00A105FA" w:rsidRPr="000C4B5F" w:rsidRDefault="00A105FA" w:rsidP="00526A67">
      <w:r w:rsidRPr="000C4B5F">
        <w:lastRenderedPageBreak/>
        <w:t xml:space="preserve">Les chronogrammes de la figure </w:t>
      </w:r>
      <w:r w:rsidR="007109AA">
        <w:t>2.</w:t>
      </w:r>
      <w:r w:rsidRPr="000C4B5F">
        <w:t>9 représentent les différents états lors de l’établissement d’une liaison, seuls sont représentés les signaux de l’ETTD et de l’ETCD du système appelant. Les états relatifs aux phases successives ne sont pas tous représentés ‘ETTD non prêt, ETCD en attente, collision).</w:t>
      </w:r>
    </w:p>
    <w:p w:rsidR="00A105FA" w:rsidRPr="000C4B5F" w:rsidRDefault="00A105FA" w:rsidP="00526A67">
      <w:r w:rsidRPr="000C4B5F">
        <w:t>Les circuits sont considérés comme fermés lorsque les signaux correspondant</w:t>
      </w:r>
      <w:r w:rsidR="007B5AB2">
        <w:t>s</w:t>
      </w:r>
      <w:r w:rsidRPr="000C4B5F">
        <w:t xml:space="preserve"> sont au niveau logique « 0 », ou pour les tensions positives sur le câble (la liaison X21 étant généralement associée à la norme V11).</w:t>
      </w:r>
    </w:p>
    <w:p w:rsidR="00A105FA" w:rsidRPr="000C4B5F" w:rsidRDefault="00A105FA" w:rsidP="00526A67"/>
    <w:p w:rsidR="007B5AB2" w:rsidRDefault="007B5AB2" w:rsidP="00526A67">
      <w:r>
        <w:object w:dxaOrig="1513" w:dyaOrig="986">
          <v:shape id="_x0000_i1037" type="#_x0000_t75" style="width:75.75pt;height:49.1pt" o:ole="">
            <v:imagedata r:id="rId28" o:title=""/>
          </v:shape>
          <o:OLEObject Type="Embed" ProgID="FoxitReader.Document" ShapeID="_x0000_i1037" DrawAspect="Icon" ObjectID="_1791622917" r:id="rId29"/>
        </w:object>
      </w:r>
    </w:p>
    <w:p w:rsidR="00786914" w:rsidRPr="000C4B5F" w:rsidRDefault="00786914" w:rsidP="00786914">
      <w:r w:rsidRPr="000C4B5F">
        <w:t xml:space="preserve">Figure </w:t>
      </w:r>
      <w:r>
        <w:t>2.</w:t>
      </w:r>
      <w:r w:rsidRPr="000C4B5F">
        <w:t>9 : Exemple d’établissement d’une liaison X21</w:t>
      </w:r>
    </w:p>
    <w:p w:rsidR="007B5AB2" w:rsidRDefault="007B5AB2" w:rsidP="00526A67"/>
    <w:p w:rsidR="00A105FA" w:rsidRPr="000C4B5F" w:rsidRDefault="00A105FA" w:rsidP="00526A67">
      <w:r w:rsidRPr="000C4B5F">
        <w:t>Etat 1 : ETTD et ETCD sont prêts ;</w:t>
      </w:r>
    </w:p>
    <w:p w:rsidR="00A105FA" w:rsidRPr="000C4B5F" w:rsidRDefault="00A105FA" w:rsidP="00526A67">
      <w:r w:rsidRPr="000C4B5F">
        <w:t>Etat 2 : T et C passent à « 0 » signifiant une deman</w:t>
      </w:r>
      <w:r w:rsidR="00BD6442" w:rsidRPr="000C4B5F">
        <w:t>de d’appel de la part de l’ETTD ;</w:t>
      </w:r>
    </w:p>
    <w:p w:rsidR="00BD6442" w:rsidRPr="000C4B5F" w:rsidRDefault="00BD6442" w:rsidP="00526A67">
      <w:r w:rsidRPr="000C4B5F">
        <w:t>Etat 3 : l’ETCD envoie sur le circuit R une suite de caractères « + » précédés de 2 ou plus de caractères de synchronisation (S) et positionne I à « 1 », ce qui signale une invitation à numéroter à l’ETTD.</w:t>
      </w:r>
    </w:p>
    <w:p w:rsidR="003D0670" w:rsidRPr="000C4B5F" w:rsidRDefault="003D0670" w:rsidP="00526A67">
      <w:r w:rsidRPr="000C4B5F">
        <w:t>Etat 4 : A la réception des caractères « + » l’ETTD entre en phase de numérotation et émet, après les caractères de synchronisation, le numéro de l’appelé codé suivant l’alphabet n° 5. La numérotation se termine par l’envoie des caractères « + ».</w:t>
      </w:r>
    </w:p>
    <w:p w:rsidR="003D0670" w:rsidRPr="000C4B5F" w:rsidRDefault="003D0670" w:rsidP="00526A67">
      <w:r w:rsidRPr="000C4B5F">
        <w:t>Etat 5 : T passe à « 1</w:t>
      </w:r>
      <w:r w:rsidR="001C4632" w:rsidRPr="000C4B5F">
        <w:t> », l’ETTD est en attente.</w:t>
      </w:r>
    </w:p>
    <w:p w:rsidR="001C4632" w:rsidRPr="000C4B5F" w:rsidRDefault="001C4632" w:rsidP="00526A67">
      <w:r w:rsidRPr="000C4B5F">
        <w:t>Etat 6 : l’ETCD émet sur R des caractères de synchronisation, l’ETCD est en attente d’une réponse du réseau.</w:t>
      </w:r>
    </w:p>
    <w:p w:rsidR="001C4632" w:rsidRPr="000C4B5F" w:rsidRDefault="001C4632" w:rsidP="00526A67">
      <w:r w:rsidRPr="000C4B5F">
        <w:t>Etat 7/10 : l’ETCD est en progression d’appel et envoie sur R des caractères codés donnant à l’ETTD des informations sur cette progression (appelé occupé, congestion du réseau, Etc.). La fin de de cette phase est signifiée par l’envoie du caractère « + ».</w:t>
      </w:r>
    </w:p>
    <w:p w:rsidR="001C4632" w:rsidRPr="000C4B5F" w:rsidRDefault="001C4632" w:rsidP="00526A67">
      <w:r w:rsidRPr="000C4B5F">
        <w:t>Etat 11 : R passe à « 1 », signifiant connexion en cours. Le passage direct de l’état 5 à l’état 11 est possible si la durée du temps de connexion est suffisamment faible.</w:t>
      </w:r>
    </w:p>
    <w:p w:rsidR="00496F1A" w:rsidRPr="000C4B5F" w:rsidRDefault="00496F1A" w:rsidP="00526A67">
      <w:r w:rsidRPr="000C4B5F">
        <w:t>Etat 12 : I passe à « 0 » l’ETCD signifie à l’ETTD</w:t>
      </w:r>
      <w:r w:rsidR="00FF6576" w:rsidRPr="000C4B5F">
        <w:t xml:space="preserve"> que la connexion est établie et qu’il est prêt pour les données.</w:t>
      </w:r>
    </w:p>
    <w:p w:rsidR="00FF6576" w:rsidRPr="000C4B5F" w:rsidRDefault="00FF6576" w:rsidP="00526A67">
      <w:r w:rsidRPr="000C4B5F">
        <w:t>Etat 13 : la transmission des données est effective.</w:t>
      </w:r>
    </w:p>
    <w:p w:rsidR="00BD6442" w:rsidRPr="000C4B5F" w:rsidRDefault="00BD6442" w:rsidP="00526A67"/>
    <w:p w:rsidR="00A105FA" w:rsidRPr="000C4B5F" w:rsidRDefault="00A105FA" w:rsidP="00526A67"/>
    <w:p w:rsidR="00A105FA" w:rsidRPr="000C4B5F" w:rsidRDefault="00A105FA" w:rsidP="00526A67"/>
    <w:p w:rsidR="00A105FA" w:rsidRPr="000C4B5F" w:rsidRDefault="00A105FA" w:rsidP="00526A67"/>
    <w:p w:rsidR="00A105FA" w:rsidRPr="000C4B5F" w:rsidRDefault="00A105FA" w:rsidP="00526A67">
      <w:r w:rsidRPr="000C4B5F">
        <w:t xml:space="preserve"> </w:t>
      </w:r>
    </w:p>
    <w:sectPr w:rsidR="00A105FA" w:rsidRPr="000C4B5F">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5396" w:rsidRDefault="009C5396" w:rsidP="00433E07">
      <w:pPr>
        <w:spacing w:after="0" w:line="240" w:lineRule="auto"/>
      </w:pPr>
      <w:r>
        <w:separator/>
      </w:r>
    </w:p>
  </w:endnote>
  <w:endnote w:type="continuationSeparator" w:id="0">
    <w:p w:rsidR="009C5396" w:rsidRDefault="009C5396" w:rsidP="00433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9620075"/>
      <w:docPartObj>
        <w:docPartGallery w:val="Page Numbers (Bottom of Page)"/>
        <w:docPartUnique/>
      </w:docPartObj>
    </w:sdtPr>
    <w:sdtEndPr/>
    <w:sdtContent>
      <w:p w:rsidR="00433E07" w:rsidRDefault="00433E07">
        <w:pPr>
          <w:pStyle w:val="Pieddepage"/>
          <w:jc w:val="right"/>
        </w:pPr>
        <w:r>
          <w:fldChar w:fldCharType="begin"/>
        </w:r>
        <w:r>
          <w:instrText>PAGE   \* MERGEFORMAT</w:instrText>
        </w:r>
        <w:r>
          <w:fldChar w:fldCharType="separate"/>
        </w:r>
        <w:r>
          <w:t>2</w:t>
        </w:r>
        <w:r>
          <w:fldChar w:fldCharType="end"/>
        </w:r>
      </w:p>
    </w:sdtContent>
  </w:sdt>
  <w:p w:rsidR="00433E07" w:rsidRDefault="00433E0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5396" w:rsidRDefault="009C5396" w:rsidP="00433E07">
      <w:pPr>
        <w:spacing w:after="0" w:line="240" w:lineRule="auto"/>
      </w:pPr>
      <w:r>
        <w:separator/>
      </w:r>
    </w:p>
  </w:footnote>
  <w:footnote w:type="continuationSeparator" w:id="0">
    <w:p w:rsidR="009C5396" w:rsidRDefault="009C5396" w:rsidP="00433E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F11D1C"/>
    <w:multiLevelType w:val="hybridMultilevel"/>
    <w:tmpl w:val="E2626BC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2A8E3B19"/>
    <w:multiLevelType w:val="multilevel"/>
    <w:tmpl w:val="C82CDE9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3EB605C3"/>
    <w:multiLevelType w:val="hybridMultilevel"/>
    <w:tmpl w:val="9550A4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27A61A4"/>
    <w:multiLevelType w:val="multilevel"/>
    <w:tmpl w:val="A78656D6"/>
    <w:lvl w:ilvl="0">
      <w:start w:val="1"/>
      <w:numFmt w:val="decimal"/>
      <w:lvlText w:val="%1."/>
      <w:lvlJc w:val="left"/>
      <w:pPr>
        <w:ind w:left="720" w:hanging="360"/>
      </w:pPr>
    </w:lvl>
    <w:lvl w:ilvl="1">
      <w:start w:val="1"/>
      <w:numFmt w:val="decimal"/>
      <w:isLgl/>
      <w:lvlText w:val="%1.%2"/>
      <w:lvlJc w:val="left"/>
      <w:pPr>
        <w:ind w:left="744" w:hanging="384"/>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 w15:restartNumberingAfterBreak="0">
    <w:nsid w:val="54244080"/>
    <w:multiLevelType w:val="hybridMultilevel"/>
    <w:tmpl w:val="3F2A93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8B12D30"/>
    <w:multiLevelType w:val="hybridMultilevel"/>
    <w:tmpl w:val="A664DA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794292E"/>
    <w:multiLevelType w:val="hybridMultilevel"/>
    <w:tmpl w:val="2F8A277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5"/>
  </w:num>
  <w:num w:numId="6">
    <w:abstractNumId w:val="4"/>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C5F"/>
    <w:rsid w:val="000246FC"/>
    <w:rsid w:val="000737F7"/>
    <w:rsid w:val="000A0C4F"/>
    <w:rsid w:val="000C4B5F"/>
    <w:rsid w:val="001B2C5F"/>
    <w:rsid w:val="001C4632"/>
    <w:rsid w:val="00211F6A"/>
    <w:rsid w:val="00286A52"/>
    <w:rsid w:val="00293791"/>
    <w:rsid w:val="002B0C13"/>
    <w:rsid w:val="002D6E5E"/>
    <w:rsid w:val="003005BF"/>
    <w:rsid w:val="00301EB4"/>
    <w:rsid w:val="00324D12"/>
    <w:rsid w:val="003A3FCA"/>
    <w:rsid w:val="003D0670"/>
    <w:rsid w:val="003D4672"/>
    <w:rsid w:val="00414FB7"/>
    <w:rsid w:val="00433E07"/>
    <w:rsid w:val="00451C75"/>
    <w:rsid w:val="0047675F"/>
    <w:rsid w:val="00476F00"/>
    <w:rsid w:val="00496F1A"/>
    <w:rsid w:val="00496F27"/>
    <w:rsid w:val="004A2C84"/>
    <w:rsid w:val="004C3D0D"/>
    <w:rsid w:val="004E449A"/>
    <w:rsid w:val="005126DD"/>
    <w:rsid w:val="00526A67"/>
    <w:rsid w:val="005358F8"/>
    <w:rsid w:val="005744E9"/>
    <w:rsid w:val="005D5687"/>
    <w:rsid w:val="006217D0"/>
    <w:rsid w:val="0062186F"/>
    <w:rsid w:val="006D067D"/>
    <w:rsid w:val="007109AA"/>
    <w:rsid w:val="00750E62"/>
    <w:rsid w:val="00785804"/>
    <w:rsid w:val="00786914"/>
    <w:rsid w:val="00791B7A"/>
    <w:rsid w:val="007A33A7"/>
    <w:rsid w:val="007B5AB2"/>
    <w:rsid w:val="007F1721"/>
    <w:rsid w:val="008C734D"/>
    <w:rsid w:val="008E179E"/>
    <w:rsid w:val="00901931"/>
    <w:rsid w:val="00910C1B"/>
    <w:rsid w:val="00934A7B"/>
    <w:rsid w:val="00941B80"/>
    <w:rsid w:val="00984E7C"/>
    <w:rsid w:val="0099494E"/>
    <w:rsid w:val="009955B4"/>
    <w:rsid w:val="009C5396"/>
    <w:rsid w:val="009C6C79"/>
    <w:rsid w:val="009F3BA8"/>
    <w:rsid w:val="00A105FA"/>
    <w:rsid w:val="00A11DBE"/>
    <w:rsid w:val="00A14A7A"/>
    <w:rsid w:val="00A23923"/>
    <w:rsid w:val="00A32364"/>
    <w:rsid w:val="00A348D1"/>
    <w:rsid w:val="00A63023"/>
    <w:rsid w:val="00A75018"/>
    <w:rsid w:val="00A97E04"/>
    <w:rsid w:val="00B52CEE"/>
    <w:rsid w:val="00BD6442"/>
    <w:rsid w:val="00C949BF"/>
    <w:rsid w:val="00CB3299"/>
    <w:rsid w:val="00D338C6"/>
    <w:rsid w:val="00D462B7"/>
    <w:rsid w:val="00D724D5"/>
    <w:rsid w:val="00D77E4C"/>
    <w:rsid w:val="00DA7255"/>
    <w:rsid w:val="00DF53B0"/>
    <w:rsid w:val="00E02C5E"/>
    <w:rsid w:val="00E05FFD"/>
    <w:rsid w:val="00E11BA0"/>
    <w:rsid w:val="00EB0428"/>
    <w:rsid w:val="00EC2216"/>
    <w:rsid w:val="00EC3A4D"/>
    <w:rsid w:val="00ED56C7"/>
    <w:rsid w:val="00F33014"/>
    <w:rsid w:val="00F366F3"/>
    <w:rsid w:val="00F535B3"/>
    <w:rsid w:val="00F57BF8"/>
    <w:rsid w:val="00FF6576"/>
    <w:rsid w:val="00FF7DD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E10D7"/>
  <w15:chartTrackingRefBased/>
  <w15:docId w15:val="{EBB8047C-F3B0-4FC4-BD0A-30F8EEB90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B2C5F"/>
    <w:pPr>
      <w:spacing w:line="25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B2C5F"/>
    <w:pPr>
      <w:ind w:left="720"/>
      <w:contextualSpacing/>
    </w:pPr>
  </w:style>
  <w:style w:type="table" w:styleId="Grilledutableau">
    <w:name w:val="Table Grid"/>
    <w:basedOn w:val="TableauNormal"/>
    <w:uiPriority w:val="39"/>
    <w:rsid w:val="001B2C5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33E07"/>
    <w:pPr>
      <w:tabs>
        <w:tab w:val="center" w:pos="4536"/>
        <w:tab w:val="right" w:pos="9072"/>
      </w:tabs>
      <w:spacing w:after="0" w:line="240" w:lineRule="auto"/>
    </w:pPr>
  </w:style>
  <w:style w:type="character" w:customStyle="1" w:styleId="En-tteCar">
    <w:name w:val="En-tête Car"/>
    <w:basedOn w:val="Policepardfaut"/>
    <w:link w:val="En-tte"/>
    <w:uiPriority w:val="99"/>
    <w:rsid w:val="00433E07"/>
  </w:style>
  <w:style w:type="paragraph" w:styleId="Pieddepage">
    <w:name w:val="footer"/>
    <w:basedOn w:val="Normal"/>
    <w:link w:val="PieddepageCar"/>
    <w:uiPriority w:val="99"/>
    <w:unhideWhenUsed/>
    <w:rsid w:val="00433E0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33E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6526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A56D0-13B0-4042-B8B7-5A7A2A095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8</Pages>
  <Words>2377</Words>
  <Characters>13079</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Hewlett-Packard Company</cp:lastModifiedBy>
  <cp:revision>58</cp:revision>
  <dcterms:created xsi:type="dcterms:W3CDTF">2024-10-27T17:40:00Z</dcterms:created>
  <dcterms:modified xsi:type="dcterms:W3CDTF">2024-10-28T12:12:00Z</dcterms:modified>
</cp:coreProperties>
</file>